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E90" w:rsidRPr="00C06373" w:rsidRDefault="006C7E90" w:rsidP="006C7E90">
      <w:pPr>
        <w:spacing w:after="0" w:line="360" w:lineRule="auto"/>
        <w:jc w:val="both"/>
        <w:rPr>
          <w:rFonts w:ascii="Palatino Linotype" w:hAnsi="Palatino Linotype" w:cs="Arial"/>
          <w:b/>
          <w:sz w:val="24"/>
          <w:szCs w:val="24"/>
          <w:lang w:val="es-MX"/>
        </w:rPr>
      </w:pPr>
      <w:r w:rsidRPr="00C06373">
        <w:rPr>
          <w:rFonts w:ascii="Palatino Linotype" w:hAnsi="Palatino Linotype" w:cs="Arial"/>
          <w:b/>
          <w:sz w:val="24"/>
          <w:szCs w:val="24"/>
          <w:lang w:val="es-MX"/>
        </w:rPr>
        <w:t>VOTO PARTICULAR DEL COMISIONADO JOSÉ GUADALUPE LUNA HERNÁNDEZ DEL RECURSO DE REVISIÓN 02297/INFOEM/IP/RR/2018 y acumulado.</w:t>
      </w:r>
    </w:p>
    <w:p w:rsidR="006C7E90" w:rsidRPr="00C06373" w:rsidRDefault="006C7E90" w:rsidP="006C7E90">
      <w:pPr>
        <w:spacing w:after="0" w:line="360" w:lineRule="auto"/>
        <w:jc w:val="both"/>
        <w:rPr>
          <w:rFonts w:ascii="Palatino Linotype" w:hAnsi="Palatino Linotype" w:cs="Arial"/>
          <w:sz w:val="24"/>
          <w:szCs w:val="24"/>
          <w:lang w:val="es-MX"/>
        </w:rPr>
      </w:pPr>
    </w:p>
    <w:p w:rsidR="006C7E90" w:rsidRPr="00C06373" w:rsidRDefault="006C7E90" w:rsidP="006C7E90">
      <w:pPr>
        <w:spacing w:after="0" w:line="360" w:lineRule="auto"/>
        <w:jc w:val="both"/>
        <w:rPr>
          <w:rFonts w:ascii="Palatino Linotype" w:hAnsi="Palatino Linotype" w:cs="Arial"/>
          <w:b/>
          <w:sz w:val="24"/>
          <w:szCs w:val="24"/>
          <w:lang w:val="es-MX"/>
        </w:rPr>
      </w:pPr>
      <w:r w:rsidRPr="00C06373">
        <w:rPr>
          <w:rFonts w:ascii="Palatino Linotype" w:hAnsi="Palatino Linotype" w:cs="Arial"/>
          <w:b/>
          <w:sz w:val="24"/>
          <w:szCs w:val="24"/>
          <w:lang w:val="es-MX"/>
        </w:rPr>
        <w:t>Líneas argumentativas:</w:t>
      </w:r>
    </w:p>
    <w:p w:rsidR="006C7E90" w:rsidRPr="00C06373" w:rsidRDefault="006C7E90" w:rsidP="006C7E90">
      <w:pPr>
        <w:spacing w:after="0" w:line="240" w:lineRule="auto"/>
        <w:jc w:val="both"/>
        <w:rPr>
          <w:rFonts w:ascii="Palatino Linotype" w:hAnsi="Palatino Linotype" w:cs="Arial"/>
          <w:sz w:val="24"/>
          <w:szCs w:val="24"/>
          <w:lang w:val="es-MX"/>
        </w:rPr>
      </w:pPr>
    </w:p>
    <w:p w:rsidR="006C7E90" w:rsidRPr="00C06373" w:rsidRDefault="006C7E90" w:rsidP="006C7E90">
      <w:pPr>
        <w:spacing w:after="0" w:line="360" w:lineRule="auto"/>
        <w:jc w:val="both"/>
        <w:rPr>
          <w:rFonts w:ascii="Palatino Linotype" w:hAnsi="Palatino Linotype" w:cs="Arial"/>
          <w:sz w:val="24"/>
          <w:szCs w:val="24"/>
          <w:lang w:val="es-MX"/>
        </w:rPr>
      </w:pPr>
      <w:r w:rsidRPr="00C06373">
        <w:rPr>
          <w:rFonts w:ascii="Palatino Linotype" w:hAnsi="Palatino Linotype" w:cs="Arial"/>
          <w:sz w:val="24"/>
          <w:szCs w:val="24"/>
          <w:lang w:val="es-MX"/>
        </w:rPr>
        <w:t>La falta de impugnación respecto al resto de los requerimientos que no fueron manifestados en el recurso de revisión, no debe entenderse como actos consentidos.</w:t>
      </w:r>
    </w:p>
    <w:p w:rsidR="006C7E90" w:rsidRPr="00C06373" w:rsidRDefault="006C7E90" w:rsidP="006C7E90">
      <w:pPr>
        <w:spacing w:after="0" w:line="240" w:lineRule="auto"/>
        <w:jc w:val="both"/>
        <w:rPr>
          <w:rFonts w:ascii="Palatino Linotype" w:hAnsi="Palatino Linotype" w:cs="Arial"/>
          <w:sz w:val="24"/>
          <w:szCs w:val="24"/>
          <w:lang w:val="es-MX"/>
        </w:rPr>
      </w:pPr>
    </w:p>
    <w:p w:rsidR="006C7E90" w:rsidRPr="00C06373" w:rsidRDefault="006C7E90" w:rsidP="006C7E90">
      <w:pPr>
        <w:spacing w:after="0" w:line="360" w:lineRule="auto"/>
        <w:jc w:val="both"/>
        <w:rPr>
          <w:rFonts w:ascii="Palatino Linotype" w:hAnsi="Palatino Linotype" w:cs="Arial"/>
          <w:sz w:val="24"/>
          <w:szCs w:val="24"/>
          <w:lang w:val="es-MX"/>
        </w:rPr>
      </w:pPr>
      <w:r w:rsidRPr="00C06373">
        <w:rPr>
          <w:rFonts w:ascii="Palatino Linotype" w:hAnsi="Palatino Linotype" w:cs="Arial"/>
          <w:sz w:val="24"/>
          <w:szCs w:val="24"/>
          <w:lang w:val="es-MX"/>
        </w:rPr>
        <w:t>La figura de actos consentidos no debe ser invocada en el derecho humano fundamental de acceder a la información pública gubernamental.</w:t>
      </w:r>
    </w:p>
    <w:p w:rsidR="006C7E90" w:rsidRPr="00C06373" w:rsidRDefault="006C7E90" w:rsidP="006C7E90">
      <w:pPr>
        <w:spacing w:after="0" w:line="240" w:lineRule="auto"/>
        <w:jc w:val="both"/>
        <w:rPr>
          <w:rFonts w:ascii="Palatino Linotype" w:hAnsi="Palatino Linotype" w:cs="Arial"/>
          <w:sz w:val="24"/>
          <w:szCs w:val="24"/>
          <w:lang w:val="es-MX"/>
        </w:rPr>
      </w:pPr>
    </w:p>
    <w:p w:rsidR="006C7E90" w:rsidRPr="00C06373" w:rsidRDefault="006C7E90" w:rsidP="006C7E90">
      <w:pPr>
        <w:spacing w:after="0" w:line="360" w:lineRule="auto"/>
        <w:jc w:val="both"/>
        <w:rPr>
          <w:rFonts w:ascii="Palatino Linotype" w:hAnsi="Palatino Linotype" w:cs="Arial"/>
          <w:sz w:val="24"/>
          <w:szCs w:val="24"/>
          <w:lang w:val="es-MX"/>
        </w:rPr>
      </w:pPr>
      <w:r w:rsidRPr="00C06373">
        <w:rPr>
          <w:rFonts w:ascii="Palatino Linotype" w:hAnsi="Palatino Linotype" w:cs="Arial"/>
          <w:sz w:val="24"/>
          <w:szCs w:val="24"/>
          <w:lang w:val="es-MX"/>
        </w:rPr>
        <w:t>El Órgano Garante del derecho de acceso a la información pública no debe imponerles las cargas formales del proceso jurisdiccional a los particulares.</w:t>
      </w:r>
    </w:p>
    <w:p w:rsidR="006C7E90" w:rsidRPr="00C06373" w:rsidRDefault="006C7E90" w:rsidP="006C7E90">
      <w:pPr>
        <w:spacing w:after="0" w:line="240" w:lineRule="auto"/>
        <w:jc w:val="both"/>
        <w:rPr>
          <w:rFonts w:ascii="Palatino Linotype" w:hAnsi="Palatino Linotype" w:cs="Arial"/>
          <w:sz w:val="24"/>
          <w:szCs w:val="24"/>
          <w:lang w:val="es-MX"/>
        </w:rPr>
      </w:pPr>
    </w:p>
    <w:p w:rsidR="006C7E90" w:rsidRPr="00C06373" w:rsidRDefault="006C7E90" w:rsidP="006C7E90">
      <w:pPr>
        <w:spacing w:after="0" w:line="360" w:lineRule="auto"/>
        <w:jc w:val="both"/>
        <w:rPr>
          <w:rFonts w:ascii="Palatino Linotype" w:hAnsi="Palatino Linotype" w:cs="Arial"/>
          <w:sz w:val="24"/>
          <w:szCs w:val="24"/>
          <w:lang w:val="es-MX"/>
        </w:rPr>
      </w:pPr>
      <w:r w:rsidRPr="00C06373">
        <w:rPr>
          <w:rFonts w:ascii="Palatino Linotype" w:hAnsi="Palatino Linotype" w:cs="Arial"/>
          <w:sz w:val="24"/>
          <w:szCs w:val="24"/>
          <w:lang w:val="es-MX"/>
        </w:rPr>
        <w:t>Lo que este Órgano Garante realice en materia de suplencia de la queja no afecta la igualdad de las partes sino procura el cumplimiento de los deberes de protección del derecho humano.</w:t>
      </w:r>
    </w:p>
    <w:p w:rsidR="006C7E90" w:rsidRPr="00C06373" w:rsidRDefault="006C7E90" w:rsidP="006C7E90">
      <w:pPr>
        <w:spacing w:after="0" w:line="240" w:lineRule="auto"/>
        <w:jc w:val="both"/>
        <w:rPr>
          <w:rFonts w:ascii="Palatino Linotype" w:hAnsi="Palatino Linotype" w:cs="Arial"/>
          <w:sz w:val="24"/>
          <w:szCs w:val="24"/>
          <w:lang w:val="es-MX"/>
        </w:rPr>
      </w:pPr>
    </w:p>
    <w:p w:rsidR="006C7E90" w:rsidRPr="00C06373" w:rsidRDefault="006C7E90" w:rsidP="006C7E90">
      <w:pPr>
        <w:spacing w:after="0" w:line="360" w:lineRule="auto"/>
        <w:jc w:val="both"/>
        <w:rPr>
          <w:rFonts w:ascii="Palatino Linotype" w:hAnsi="Palatino Linotype" w:cs="Arial"/>
          <w:sz w:val="24"/>
          <w:szCs w:val="24"/>
          <w:lang w:val="es-MX"/>
        </w:rPr>
      </w:pPr>
      <w:r w:rsidRPr="00C06373">
        <w:rPr>
          <w:rFonts w:ascii="Palatino Linotype" w:hAnsi="Palatino Linotype" w:cs="Arial"/>
          <w:sz w:val="24"/>
          <w:szCs w:val="24"/>
          <w:lang w:val="es-MX"/>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6C7E90" w:rsidRPr="00C06373" w:rsidRDefault="006C7E90" w:rsidP="006C7E90">
      <w:pPr>
        <w:spacing w:after="0" w:line="360" w:lineRule="auto"/>
        <w:jc w:val="both"/>
        <w:rPr>
          <w:rFonts w:ascii="Palatino Linotype" w:hAnsi="Palatino Linotype" w:cs="Arial"/>
          <w:sz w:val="24"/>
          <w:szCs w:val="24"/>
          <w:lang w:val="es-MX"/>
        </w:rPr>
      </w:pPr>
    </w:p>
    <w:p w:rsidR="006C7E90" w:rsidRPr="00C06373" w:rsidRDefault="006C7E90" w:rsidP="006C7E90">
      <w:pPr>
        <w:spacing w:after="0" w:line="360" w:lineRule="auto"/>
        <w:jc w:val="both"/>
        <w:rPr>
          <w:rFonts w:ascii="Palatino Linotype" w:hAnsi="Palatino Linotype" w:cs="Arial"/>
          <w:sz w:val="24"/>
          <w:szCs w:val="24"/>
          <w:lang w:val="es-MX"/>
        </w:rPr>
      </w:pPr>
      <w:r w:rsidRPr="00C06373">
        <w:rPr>
          <w:rFonts w:ascii="Palatino Linotype" w:hAnsi="Palatino Linotype" w:cs="Arial"/>
          <w:sz w:val="24"/>
          <w:szCs w:val="24"/>
          <w:lang w:val="es-MX"/>
        </w:rPr>
        <w:lastRenderedPageBreak/>
        <w:t>Los órganos del Estado, tienen el deber de cumplir sus atribuciones, de prevenir violaciones a los derechos fundamentales.</w:t>
      </w:r>
    </w:p>
    <w:p w:rsidR="006C7E90" w:rsidRPr="00C06373" w:rsidRDefault="006C7E90" w:rsidP="006C7E90">
      <w:pPr>
        <w:spacing w:after="0" w:line="360" w:lineRule="auto"/>
        <w:jc w:val="both"/>
        <w:rPr>
          <w:rFonts w:ascii="Palatino Linotype" w:hAnsi="Palatino Linotype" w:cs="Arial"/>
          <w:sz w:val="24"/>
          <w:szCs w:val="24"/>
          <w:lang w:val="es-MX"/>
        </w:rPr>
      </w:pPr>
    </w:p>
    <w:p w:rsidR="006C7E90" w:rsidRPr="00C06373" w:rsidRDefault="006C7E90" w:rsidP="006C7E90">
      <w:pPr>
        <w:spacing w:after="0" w:line="360" w:lineRule="auto"/>
        <w:jc w:val="both"/>
        <w:rPr>
          <w:rFonts w:ascii="Palatino Linotype" w:hAnsi="Palatino Linotype" w:cs="Arial"/>
          <w:sz w:val="24"/>
          <w:szCs w:val="24"/>
          <w:lang w:val="es-MX"/>
        </w:rPr>
      </w:pPr>
    </w:p>
    <w:p w:rsidR="006C7E90" w:rsidRPr="00C06373" w:rsidRDefault="006C7E90" w:rsidP="006C7E90">
      <w:pPr>
        <w:spacing w:after="0" w:line="360" w:lineRule="auto"/>
        <w:jc w:val="both"/>
        <w:rPr>
          <w:rFonts w:ascii="Palatino Linotype" w:hAnsi="Palatino Linotype" w:cs="Arial"/>
          <w:sz w:val="24"/>
          <w:szCs w:val="24"/>
          <w:lang w:val="es-MX"/>
        </w:rPr>
      </w:pPr>
    </w:p>
    <w:p w:rsidR="006C7E90" w:rsidRPr="00C06373" w:rsidRDefault="006C7E90" w:rsidP="006C7E90">
      <w:pPr>
        <w:spacing w:after="0" w:line="360" w:lineRule="auto"/>
        <w:jc w:val="both"/>
        <w:rPr>
          <w:rFonts w:ascii="Palatino Linotype" w:hAnsi="Palatino Linotype" w:cs="Arial"/>
          <w:sz w:val="24"/>
          <w:szCs w:val="24"/>
          <w:lang w:val="es-MX"/>
        </w:rPr>
      </w:pPr>
      <w:r w:rsidRPr="00C06373">
        <w:rPr>
          <w:rFonts w:ascii="Palatino Linotype" w:hAnsi="Palatino Linotype" w:cs="Arial"/>
          <w:b/>
          <w:sz w:val="24"/>
          <w:szCs w:val="24"/>
          <w:lang w:val="es-MX"/>
        </w:rPr>
        <w:t>Índice</w:t>
      </w:r>
    </w:p>
    <w:sdt>
      <w:sdtPr>
        <w:rPr>
          <w:rFonts w:ascii="Palatino Linotype" w:hAnsi="Palatino Linotype"/>
        </w:rPr>
        <w:id w:val="-1628690016"/>
        <w:docPartObj>
          <w:docPartGallery w:val="Table of Contents"/>
          <w:docPartUnique/>
        </w:docPartObj>
      </w:sdtPr>
      <w:sdtEndPr>
        <w:rPr>
          <w:b/>
          <w:bCs/>
        </w:rPr>
      </w:sdtEndPr>
      <w:sdtContent>
        <w:p w:rsidR="006C7E90" w:rsidRPr="00C06373" w:rsidRDefault="006C7E90" w:rsidP="006C7E90">
          <w:pPr>
            <w:keepNext/>
            <w:keepLines/>
            <w:spacing w:before="240" w:after="0" w:line="360" w:lineRule="auto"/>
            <w:rPr>
              <w:rFonts w:ascii="Palatino Linotype" w:eastAsiaTheme="majorEastAsia" w:hAnsi="Palatino Linotype" w:cstheme="majorBidi"/>
              <w:color w:val="2E74B5" w:themeColor="accent1" w:themeShade="BF"/>
              <w:sz w:val="32"/>
              <w:szCs w:val="32"/>
              <w:lang w:val="es-MX" w:eastAsia="es-MX"/>
            </w:rPr>
          </w:pPr>
        </w:p>
        <w:p w:rsidR="00C06373" w:rsidRDefault="006C7E90">
          <w:pPr>
            <w:pStyle w:val="TDC1"/>
            <w:tabs>
              <w:tab w:val="left" w:pos="440"/>
              <w:tab w:val="right" w:leader="dot" w:pos="8828"/>
            </w:tabs>
            <w:rPr>
              <w:rFonts w:eastAsiaTheme="minorEastAsia"/>
              <w:noProof/>
              <w:lang w:val="es-MX" w:eastAsia="es-MX"/>
            </w:rPr>
          </w:pPr>
          <w:r w:rsidRPr="00C06373">
            <w:rPr>
              <w:rFonts w:ascii="Palatino Linotype" w:hAnsi="Palatino Linotype"/>
              <w:lang w:val="es-MX"/>
            </w:rPr>
            <w:fldChar w:fldCharType="begin"/>
          </w:r>
          <w:r w:rsidRPr="00C06373">
            <w:rPr>
              <w:rFonts w:ascii="Palatino Linotype" w:hAnsi="Palatino Linotype"/>
              <w:lang w:val="es-MX"/>
            </w:rPr>
            <w:instrText xml:space="preserve"> TOC \o "1-3" \h \z \u </w:instrText>
          </w:r>
          <w:r w:rsidRPr="00C06373">
            <w:rPr>
              <w:rFonts w:ascii="Palatino Linotype" w:hAnsi="Palatino Linotype"/>
              <w:lang w:val="es-MX"/>
            </w:rPr>
            <w:fldChar w:fldCharType="separate"/>
          </w:r>
          <w:hyperlink w:anchor="_Toc523146005" w:history="1">
            <w:r w:rsidR="00C06373" w:rsidRPr="00897AA4">
              <w:rPr>
                <w:rStyle w:val="Hipervnculo"/>
                <w:rFonts w:ascii="Palatino Linotype" w:eastAsiaTheme="majorEastAsia" w:hAnsi="Palatino Linotype" w:cstheme="majorBidi"/>
                <w:b/>
                <w:noProof/>
                <w:lang w:val="es-MX"/>
              </w:rPr>
              <w:t>I.</w:t>
            </w:r>
            <w:r w:rsidR="00C06373">
              <w:rPr>
                <w:rFonts w:eastAsiaTheme="minorEastAsia"/>
                <w:noProof/>
                <w:lang w:val="es-MX" w:eastAsia="es-MX"/>
              </w:rPr>
              <w:tab/>
            </w:r>
            <w:r w:rsidR="00C06373" w:rsidRPr="00897AA4">
              <w:rPr>
                <w:rStyle w:val="Hipervnculo"/>
                <w:rFonts w:ascii="Palatino Linotype" w:eastAsiaTheme="majorEastAsia" w:hAnsi="Palatino Linotype" w:cstheme="majorBidi"/>
                <w:b/>
                <w:noProof/>
                <w:lang w:val="es-MX"/>
              </w:rPr>
              <w:t>Consideraciones Generales.</w:t>
            </w:r>
            <w:r w:rsidR="00C06373">
              <w:rPr>
                <w:noProof/>
                <w:webHidden/>
              </w:rPr>
              <w:tab/>
            </w:r>
            <w:r w:rsidR="00C06373">
              <w:rPr>
                <w:noProof/>
                <w:webHidden/>
              </w:rPr>
              <w:fldChar w:fldCharType="begin"/>
            </w:r>
            <w:r w:rsidR="00C06373">
              <w:rPr>
                <w:noProof/>
                <w:webHidden/>
              </w:rPr>
              <w:instrText xml:space="preserve"> PAGEREF _Toc523146005 \h </w:instrText>
            </w:r>
            <w:r w:rsidR="00C06373">
              <w:rPr>
                <w:noProof/>
                <w:webHidden/>
              </w:rPr>
            </w:r>
            <w:r w:rsidR="00C06373">
              <w:rPr>
                <w:noProof/>
                <w:webHidden/>
              </w:rPr>
              <w:fldChar w:fldCharType="separate"/>
            </w:r>
            <w:r w:rsidR="00C06373">
              <w:rPr>
                <w:noProof/>
                <w:webHidden/>
              </w:rPr>
              <w:t>2</w:t>
            </w:r>
            <w:r w:rsidR="00C06373">
              <w:rPr>
                <w:noProof/>
                <w:webHidden/>
              </w:rPr>
              <w:fldChar w:fldCharType="end"/>
            </w:r>
          </w:hyperlink>
        </w:p>
        <w:p w:rsidR="00C06373" w:rsidRDefault="00CF12D8">
          <w:pPr>
            <w:pStyle w:val="TDC1"/>
            <w:tabs>
              <w:tab w:val="left" w:pos="660"/>
              <w:tab w:val="right" w:leader="dot" w:pos="8828"/>
            </w:tabs>
            <w:rPr>
              <w:rFonts w:eastAsiaTheme="minorEastAsia"/>
              <w:noProof/>
              <w:lang w:val="es-MX" w:eastAsia="es-MX"/>
            </w:rPr>
          </w:pPr>
          <w:hyperlink w:anchor="_Toc523146006" w:history="1">
            <w:r w:rsidR="00C06373" w:rsidRPr="00897AA4">
              <w:rPr>
                <w:rStyle w:val="Hipervnculo"/>
                <w:rFonts w:ascii="Palatino Linotype" w:eastAsiaTheme="majorEastAsia" w:hAnsi="Palatino Linotype" w:cstheme="majorBidi"/>
                <w:b/>
                <w:noProof/>
                <w:lang w:val="es-MX"/>
              </w:rPr>
              <w:t>II.</w:t>
            </w:r>
            <w:r w:rsidR="00C06373">
              <w:rPr>
                <w:rFonts w:eastAsiaTheme="minorEastAsia"/>
                <w:noProof/>
                <w:lang w:val="es-MX" w:eastAsia="es-MX"/>
              </w:rPr>
              <w:tab/>
            </w:r>
            <w:r w:rsidR="00C06373" w:rsidRPr="00897AA4">
              <w:rPr>
                <w:rStyle w:val="Hipervnculo"/>
                <w:rFonts w:ascii="Palatino Linotype" w:eastAsiaTheme="majorEastAsia" w:hAnsi="Palatino Linotype" w:cstheme="majorBidi"/>
                <w:b/>
                <w:noProof/>
                <w:lang w:val="es-MX"/>
              </w:rPr>
              <w:t>De los requerimientos planteados en el recurso de revisión.</w:t>
            </w:r>
            <w:r w:rsidR="00C06373">
              <w:rPr>
                <w:noProof/>
                <w:webHidden/>
              </w:rPr>
              <w:tab/>
            </w:r>
            <w:r w:rsidR="00C06373">
              <w:rPr>
                <w:noProof/>
                <w:webHidden/>
              </w:rPr>
              <w:fldChar w:fldCharType="begin"/>
            </w:r>
            <w:r w:rsidR="00C06373">
              <w:rPr>
                <w:noProof/>
                <w:webHidden/>
              </w:rPr>
              <w:instrText xml:space="preserve"> PAGEREF _Toc523146006 \h </w:instrText>
            </w:r>
            <w:r w:rsidR="00C06373">
              <w:rPr>
                <w:noProof/>
                <w:webHidden/>
              </w:rPr>
            </w:r>
            <w:r w:rsidR="00C06373">
              <w:rPr>
                <w:noProof/>
                <w:webHidden/>
              </w:rPr>
              <w:fldChar w:fldCharType="separate"/>
            </w:r>
            <w:r w:rsidR="00C06373">
              <w:rPr>
                <w:noProof/>
                <w:webHidden/>
              </w:rPr>
              <w:t>3</w:t>
            </w:r>
            <w:r w:rsidR="00C06373">
              <w:rPr>
                <w:noProof/>
                <w:webHidden/>
              </w:rPr>
              <w:fldChar w:fldCharType="end"/>
            </w:r>
          </w:hyperlink>
        </w:p>
        <w:p w:rsidR="00C06373" w:rsidRDefault="00CF12D8">
          <w:pPr>
            <w:pStyle w:val="TDC1"/>
            <w:tabs>
              <w:tab w:val="left" w:pos="660"/>
              <w:tab w:val="right" w:leader="dot" w:pos="8828"/>
            </w:tabs>
            <w:rPr>
              <w:rFonts w:eastAsiaTheme="minorEastAsia"/>
              <w:noProof/>
              <w:lang w:val="es-MX" w:eastAsia="es-MX"/>
            </w:rPr>
          </w:pPr>
          <w:hyperlink w:anchor="_Toc523146007" w:history="1">
            <w:r w:rsidR="00C06373" w:rsidRPr="00897AA4">
              <w:rPr>
                <w:rStyle w:val="Hipervnculo"/>
                <w:rFonts w:ascii="Palatino Linotype" w:eastAsiaTheme="majorEastAsia" w:hAnsi="Palatino Linotype" w:cstheme="majorBidi"/>
                <w:b/>
                <w:noProof/>
                <w:lang w:val="es-MX"/>
              </w:rPr>
              <w:t>III.</w:t>
            </w:r>
            <w:r w:rsidR="00C06373">
              <w:rPr>
                <w:rFonts w:eastAsiaTheme="minorEastAsia"/>
                <w:noProof/>
                <w:lang w:val="es-MX" w:eastAsia="es-MX"/>
              </w:rPr>
              <w:tab/>
            </w:r>
            <w:r w:rsidR="00C06373" w:rsidRPr="00897AA4">
              <w:rPr>
                <w:rStyle w:val="Hipervnculo"/>
                <w:rFonts w:ascii="Palatino Linotype" w:eastAsiaTheme="majorEastAsia" w:hAnsi="Palatino Linotype" w:cstheme="majorBidi"/>
                <w:b/>
                <w:noProof/>
                <w:lang w:val="es-MX"/>
              </w:rPr>
              <w:t>Los actos consentidos no deben invocarse en el derecho fundamental de acceder a la información pública gubernamental.</w:t>
            </w:r>
            <w:r w:rsidR="00C06373">
              <w:rPr>
                <w:noProof/>
                <w:webHidden/>
              </w:rPr>
              <w:tab/>
            </w:r>
            <w:r w:rsidR="00C06373">
              <w:rPr>
                <w:noProof/>
                <w:webHidden/>
              </w:rPr>
              <w:fldChar w:fldCharType="begin"/>
            </w:r>
            <w:r w:rsidR="00C06373">
              <w:rPr>
                <w:noProof/>
                <w:webHidden/>
              </w:rPr>
              <w:instrText xml:space="preserve"> PAGEREF _Toc523146007 \h </w:instrText>
            </w:r>
            <w:r w:rsidR="00C06373">
              <w:rPr>
                <w:noProof/>
                <w:webHidden/>
              </w:rPr>
            </w:r>
            <w:r w:rsidR="00C06373">
              <w:rPr>
                <w:noProof/>
                <w:webHidden/>
              </w:rPr>
              <w:fldChar w:fldCharType="separate"/>
            </w:r>
            <w:r w:rsidR="00C06373">
              <w:rPr>
                <w:noProof/>
                <w:webHidden/>
              </w:rPr>
              <w:t>9</w:t>
            </w:r>
            <w:r w:rsidR="00C06373">
              <w:rPr>
                <w:noProof/>
                <w:webHidden/>
              </w:rPr>
              <w:fldChar w:fldCharType="end"/>
            </w:r>
          </w:hyperlink>
        </w:p>
        <w:p w:rsidR="006C7E90" w:rsidRPr="00C06373" w:rsidRDefault="006C7E90" w:rsidP="006C7E90">
          <w:pPr>
            <w:spacing w:line="360" w:lineRule="auto"/>
            <w:rPr>
              <w:rFonts w:ascii="Palatino Linotype" w:hAnsi="Palatino Linotype"/>
              <w:lang w:val="es-MX"/>
            </w:rPr>
          </w:pPr>
          <w:r w:rsidRPr="00C06373">
            <w:rPr>
              <w:rFonts w:ascii="Palatino Linotype" w:hAnsi="Palatino Linotype"/>
              <w:b/>
              <w:bCs/>
            </w:rPr>
            <w:fldChar w:fldCharType="end"/>
          </w:r>
        </w:p>
      </w:sdtContent>
    </w:sdt>
    <w:p w:rsidR="006C7E90" w:rsidRPr="00C06373" w:rsidRDefault="006C7E90" w:rsidP="006C7E90">
      <w:pPr>
        <w:keepNext/>
        <w:keepLines/>
        <w:spacing w:before="240" w:after="0" w:line="360" w:lineRule="auto"/>
        <w:outlineLvl w:val="0"/>
        <w:rPr>
          <w:rFonts w:ascii="Palatino Linotype" w:eastAsiaTheme="majorEastAsia" w:hAnsi="Palatino Linotype" w:cstheme="majorBidi"/>
          <w:b/>
          <w:sz w:val="24"/>
          <w:szCs w:val="24"/>
          <w:lang w:val="es-MX"/>
        </w:rPr>
      </w:pPr>
    </w:p>
    <w:p w:rsidR="006C7E90" w:rsidRPr="00C06373" w:rsidRDefault="006C7E90" w:rsidP="006C7E90">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0" w:name="_Toc523146005"/>
      <w:r w:rsidRPr="00C06373">
        <w:rPr>
          <w:rFonts w:ascii="Palatino Linotype" w:eastAsiaTheme="majorEastAsia" w:hAnsi="Palatino Linotype" w:cstheme="majorBidi"/>
          <w:b/>
          <w:sz w:val="24"/>
          <w:szCs w:val="24"/>
          <w:lang w:val="es-MX"/>
        </w:rPr>
        <w:t>Consideraciones Generales.</w:t>
      </w:r>
      <w:bookmarkEnd w:id="0"/>
    </w:p>
    <w:p w:rsidR="006C7E90" w:rsidRPr="00C06373" w:rsidRDefault="006C7E90" w:rsidP="006C7E90">
      <w:pPr>
        <w:spacing w:after="0" w:line="360" w:lineRule="auto"/>
        <w:ind w:left="1080"/>
        <w:contextualSpacing/>
        <w:jc w:val="both"/>
        <w:rPr>
          <w:rFonts w:ascii="Palatino Linotype" w:hAnsi="Palatino Linotype" w:cs="Arial"/>
          <w:b/>
          <w:sz w:val="24"/>
          <w:szCs w:val="24"/>
          <w:lang w:val="es-MX"/>
        </w:rPr>
      </w:pPr>
    </w:p>
    <w:p w:rsidR="006C7E90" w:rsidRPr="00C06373" w:rsidRDefault="006C7E90" w:rsidP="006C7E90">
      <w:pPr>
        <w:numPr>
          <w:ilvl w:val="0"/>
          <w:numId w:val="1"/>
        </w:numPr>
        <w:spacing w:after="0" w:line="360" w:lineRule="auto"/>
        <w:ind w:left="426"/>
        <w:contextualSpacing/>
        <w:jc w:val="both"/>
        <w:rPr>
          <w:rFonts w:ascii="Palatino Linotype" w:hAnsi="Palatino Linotype" w:cs="Arial"/>
          <w:sz w:val="24"/>
          <w:szCs w:val="24"/>
          <w:lang w:val="es-MX"/>
        </w:rPr>
      </w:pPr>
      <w:r w:rsidRPr="00C06373">
        <w:rPr>
          <w:rFonts w:ascii="Palatino Linotype" w:eastAsia="Times New Roman" w:hAnsi="Palatino Linotype" w:cs="Arial"/>
          <w:sz w:val="24"/>
          <w:szCs w:val="24"/>
          <w:lang w:val="es-ES_tradnl"/>
        </w:rPr>
        <w:t xml:space="preserve">He concurrido con mi voto particular de la presente resolución emitida </w:t>
      </w:r>
      <w:r w:rsidRPr="00C06373">
        <w:rPr>
          <w:rFonts w:ascii="Palatino Linotype" w:hAnsi="Palatino Linotype" w:cs="Arial"/>
          <w:sz w:val="24"/>
          <w:szCs w:val="24"/>
          <w:lang w:val="es-MX"/>
        </w:rPr>
        <w:t>por el Pleno del Instituto de Transparencia, Acceso a la Información Pública y Protección de Datos Personales del Estado de México y Municipios, en su Trigésima Sesión Ordinaria de fecha veintidós (22) de agosto de dos mil dieciocho, en el recurso de revisión promovido por</w:t>
      </w:r>
      <w:r w:rsidRPr="00C06373">
        <w:rPr>
          <w:rFonts w:ascii="Palatino Linotype" w:eastAsia="Times New Roman" w:hAnsi="Palatino Linotype" w:cs="Arial"/>
          <w:b/>
          <w:sz w:val="24"/>
          <w:szCs w:val="24"/>
          <w:lang w:eastAsia="es-ES"/>
        </w:rPr>
        <w:t xml:space="preserve"> </w:t>
      </w:r>
      <w:r w:rsidR="003838C1">
        <w:rPr>
          <w:rFonts w:ascii="Palatino Linotype" w:hAnsi="Palatino Linotype"/>
          <w:b/>
          <w:sz w:val="24"/>
          <w:szCs w:val="24"/>
          <w:lang w:val="es-MX"/>
        </w:rPr>
        <w:t>**** **** ****</w:t>
      </w:r>
      <w:bookmarkStart w:id="1" w:name="_GoBack"/>
      <w:bookmarkEnd w:id="1"/>
      <w:r w:rsidRPr="00C06373">
        <w:rPr>
          <w:rFonts w:ascii="Palatino Linotype" w:hAnsi="Palatino Linotype" w:cs="Arial"/>
          <w:sz w:val="24"/>
          <w:szCs w:val="24"/>
          <w:lang w:val="es-MX"/>
        </w:rPr>
        <w:t>,</w:t>
      </w:r>
      <w:r w:rsidRPr="00C06373">
        <w:rPr>
          <w:rFonts w:ascii="Palatino Linotype" w:hAnsi="Palatino Linotype" w:cs="Arial"/>
          <w:b/>
          <w:sz w:val="24"/>
          <w:szCs w:val="24"/>
          <w:lang w:val="es-MX"/>
        </w:rPr>
        <w:t xml:space="preserve"> </w:t>
      </w:r>
      <w:r w:rsidRPr="00C06373">
        <w:rPr>
          <w:rFonts w:ascii="Palatino Linotype" w:hAnsi="Palatino Linotype" w:cs="Arial"/>
          <w:sz w:val="24"/>
          <w:szCs w:val="24"/>
          <w:lang w:val="es-MX"/>
        </w:rPr>
        <w:t xml:space="preserve">en contra de </w:t>
      </w:r>
      <w:r w:rsidRPr="00C06373">
        <w:rPr>
          <w:rFonts w:ascii="Palatino Linotype" w:hAnsi="Palatino Linotype" w:cs="Arial"/>
          <w:sz w:val="24"/>
          <w:szCs w:val="24"/>
          <w:lang w:val="es-MX"/>
        </w:rPr>
        <w:lastRenderedPageBreak/>
        <w:t>la</w:t>
      </w:r>
      <w:r w:rsidR="004B239F" w:rsidRPr="00C06373">
        <w:rPr>
          <w:rFonts w:ascii="Palatino Linotype" w:hAnsi="Palatino Linotype" w:cs="Arial"/>
          <w:sz w:val="24"/>
          <w:szCs w:val="24"/>
          <w:lang w:val="es-MX"/>
        </w:rPr>
        <w:t>s</w:t>
      </w:r>
      <w:r w:rsidRPr="00C06373">
        <w:rPr>
          <w:rFonts w:ascii="Palatino Linotype" w:hAnsi="Palatino Linotype" w:cs="Arial"/>
          <w:sz w:val="24"/>
          <w:szCs w:val="24"/>
          <w:lang w:val="es-MX"/>
        </w:rPr>
        <w:t xml:space="preserve"> respuesta</w:t>
      </w:r>
      <w:r w:rsidR="004B239F" w:rsidRPr="00C06373">
        <w:rPr>
          <w:rFonts w:ascii="Palatino Linotype" w:hAnsi="Palatino Linotype" w:cs="Arial"/>
          <w:sz w:val="24"/>
          <w:szCs w:val="24"/>
          <w:lang w:val="es-MX"/>
        </w:rPr>
        <w:t>s</w:t>
      </w:r>
      <w:r w:rsidRPr="00C06373">
        <w:rPr>
          <w:rFonts w:ascii="Palatino Linotype" w:hAnsi="Palatino Linotype" w:cs="Arial"/>
          <w:sz w:val="24"/>
          <w:szCs w:val="24"/>
          <w:lang w:val="es-MX"/>
        </w:rPr>
        <w:t xml:space="preserve"> del</w:t>
      </w:r>
      <w:r w:rsidRPr="00C06373">
        <w:rPr>
          <w:rFonts w:ascii="Palatino Linotype" w:eastAsia="Times New Roman" w:hAnsi="Palatino Linotype" w:cs="Arial"/>
          <w:b/>
          <w:sz w:val="24"/>
          <w:szCs w:val="24"/>
          <w:lang w:eastAsia="es-ES"/>
        </w:rPr>
        <w:t xml:space="preserve"> Ayuntamiento de </w:t>
      </w:r>
      <w:proofErr w:type="spellStart"/>
      <w:r w:rsidRPr="00C06373">
        <w:rPr>
          <w:rFonts w:ascii="Palatino Linotype" w:hAnsi="Palatino Linotype"/>
          <w:b/>
          <w:sz w:val="24"/>
          <w:szCs w:val="24"/>
          <w:lang w:val="es-MX"/>
        </w:rPr>
        <w:t>Temoaya</w:t>
      </w:r>
      <w:proofErr w:type="spellEnd"/>
      <w:r w:rsidRPr="00C06373">
        <w:rPr>
          <w:rFonts w:ascii="Palatino Linotype" w:hAnsi="Palatino Linotype"/>
          <w:sz w:val="24"/>
          <w:szCs w:val="24"/>
          <w:lang w:val="es-MX"/>
        </w:rPr>
        <w:t>,</w:t>
      </w:r>
      <w:r w:rsidRPr="00C06373">
        <w:rPr>
          <w:rFonts w:ascii="Palatino Linotype" w:eastAsia="Times New Roman" w:hAnsi="Palatino Linotype" w:cs="Arial"/>
          <w:b/>
          <w:sz w:val="24"/>
          <w:szCs w:val="24"/>
          <w:lang w:eastAsia="es-ES"/>
        </w:rPr>
        <w:t xml:space="preserve"> </w:t>
      </w:r>
      <w:r w:rsidRPr="00C06373">
        <w:rPr>
          <w:rFonts w:ascii="Palatino Linotype" w:hAnsi="Palatino Linotype" w:cs="Arial"/>
          <w:sz w:val="24"/>
          <w:szCs w:val="24"/>
          <w:lang w:val="es-MX"/>
        </w:rPr>
        <w:t xml:space="preserve">procedimiento al que se le asignó el número de expediente </w:t>
      </w:r>
      <w:r w:rsidRPr="00C06373">
        <w:rPr>
          <w:rFonts w:ascii="Palatino Linotype" w:eastAsia="Times New Roman" w:hAnsi="Palatino Linotype" w:cs="Arial"/>
          <w:b/>
          <w:bCs/>
          <w:sz w:val="24"/>
          <w:szCs w:val="24"/>
          <w:lang w:val="es-MX" w:eastAsia="es-ES"/>
        </w:rPr>
        <w:t>02297/INFOEM/IP/RR/2018 y acumulado.</w:t>
      </w:r>
    </w:p>
    <w:p w:rsidR="006C7E90" w:rsidRPr="00C06373" w:rsidRDefault="006C7E90" w:rsidP="006C7E90">
      <w:pPr>
        <w:spacing w:after="0" w:line="360" w:lineRule="auto"/>
        <w:ind w:left="426"/>
        <w:contextualSpacing/>
        <w:jc w:val="both"/>
        <w:rPr>
          <w:rFonts w:ascii="Palatino Linotype" w:hAnsi="Palatino Linotype" w:cs="Arial"/>
          <w:sz w:val="24"/>
          <w:szCs w:val="24"/>
          <w:lang w:val="es-MX"/>
        </w:rPr>
      </w:pPr>
    </w:p>
    <w:p w:rsidR="006C7E90" w:rsidRPr="00C06373" w:rsidRDefault="006C7E90" w:rsidP="006C7E90">
      <w:pPr>
        <w:numPr>
          <w:ilvl w:val="0"/>
          <w:numId w:val="1"/>
        </w:numPr>
        <w:spacing w:before="240" w:after="240" w:line="360" w:lineRule="auto"/>
        <w:ind w:right="49"/>
        <w:contextualSpacing/>
        <w:jc w:val="both"/>
        <w:rPr>
          <w:rFonts w:ascii="Palatino Linotype" w:hAnsi="Palatino Linotype" w:cs="Arial"/>
          <w:sz w:val="24"/>
          <w:szCs w:val="24"/>
          <w:lang w:val="es-MX"/>
        </w:rPr>
      </w:pPr>
      <w:r w:rsidRPr="00C06373">
        <w:rPr>
          <w:rFonts w:ascii="Palatino Linotype" w:hAnsi="Palatino Linotype" w:cs="Arial"/>
          <w:color w:val="000000" w:themeColor="text1"/>
          <w:sz w:val="24"/>
          <w:szCs w:val="24"/>
        </w:rPr>
        <w:t xml:space="preserve">La resolución puntualmente determina </w:t>
      </w:r>
      <w:r w:rsidRPr="00C06373">
        <w:rPr>
          <w:rFonts w:ascii="Palatino Linotype" w:hAnsi="Palatino Linotype" w:cs="Arial"/>
          <w:b/>
          <w:color w:val="000000" w:themeColor="text1"/>
          <w:sz w:val="24"/>
          <w:szCs w:val="24"/>
        </w:rPr>
        <w:t>MODIFICAR</w:t>
      </w:r>
      <w:r w:rsidRPr="00C06373">
        <w:rPr>
          <w:rFonts w:ascii="Palatino Linotype" w:hAnsi="Palatino Linotype" w:cs="Arial"/>
          <w:color w:val="000000" w:themeColor="text1"/>
          <w:sz w:val="24"/>
          <w:szCs w:val="24"/>
        </w:rPr>
        <w:t xml:space="preserve"> la</w:t>
      </w:r>
      <w:r w:rsidR="004B239F" w:rsidRPr="00C06373">
        <w:rPr>
          <w:rFonts w:ascii="Palatino Linotype" w:hAnsi="Palatino Linotype" w:cs="Arial"/>
          <w:color w:val="000000" w:themeColor="text1"/>
          <w:sz w:val="24"/>
          <w:szCs w:val="24"/>
        </w:rPr>
        <w:t>s</w:t>
      </w:r>
      <w:r w:rsidRPr="00C06373">
        <w:rPr>
          <w:rFonts w:ascii="Palatino Linotype" w:hAnsi="Palatino Linotype" w:cs="Arial"/>
          <w:color w:val="000000" w:themeColor="text1"/>
          <w:sz w:val="24"/>
          <w:szCs w:val="24"/>
        </w:rPr>
        <w:t xml:space="preserve"> respuesta</w:t>
      </w:r>
      <w:r w:rsidR="004B239F" w:rsidRPr="00C06373">
        <w:rPr>
          <w:rFonts w:ascii="Palatino Linotype" w:hAnsi="Palatino Linotype" w:cs="Arial"/>
          <w:color w:val="000000" w:themeColor="text1"/>
          <w:sz w:val="24"/>
          <w:szCs w:val="24"/>
        </w:rPr>
        <w:t>s</w:t>
      </w:r>
      <w:r w:rsidRPr="00C06373">
        <w:rPr>
          <w:rFonts w:ascii="Palatino Linotype" w:hAnsi="Palatino Linotype" w:cs="Arial"/>
          <w:color w:val="000000" w:themeColor="text1"/>
          <w:sz w:val="24"/>
          <w:szCs w:val="24"/>
        </w:rPr>
        <w:t xml:space="preserve"> del Sujeto Obligado y </w:t>
      </w:r>
      <w:r w:rsidRPr="00C06373">
        <w:rPr>
          <w:rFonts w:ascii="Palatino Linotype" w:hAnsi="Palatino Linotype" w:cs="Arial"/>
          <w:b/>
          <w:color w:val="000000" w:themeColor="text1"/>
          <w:sz w:val="24"/>
          <w:szCs w:val="24"/>
        </w:rPr>
        <w:t>ORDENAR</w:t>
      </w:r>
      <w:r w:rsidRPr="00C06373">
        <w:rPr>
          <w:rFonts w:ascii="Palatino Linotype" w:hAnsi="Palatino Linotype" w:cs="Arial"/>
          <w:color w:val="000000" w:themeColor="text1"/>
          <w:sz w:val="24"/>
          <w:szCs w:val="24"/>
        </w:rPr>
        <w:t xml:space="preserve"> la entrega</w:t>
      </w:r>
      <w:r w:rsidRPr="00C06373">
        <w:rPr>
          <w:rFonts w:ascii="Palatino Linotype" w:hAnsi="Palatino Linotype" w:cs="Arial"/>
          <w:sz w:val="24"/>
          <w:szCs w:val="24"/>
          <w:lang w:val="es-MX"/>
        </w:rPr>
        <w:t xml:space="preserve"> de la información, sin embargo, mi voto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6C7E90" w:rsidRPr="00C06373" w:rsidRDefault="006C7E90" w:rsidP="006C7E90">
      <w:pPr>
        <w:ind w:left="720"/>
        <w:contextualSpacing/>
        <w:rPr>
          <w:rFonts w:ascii="Palatino Linotype" w:hAnsi="Palatino Linotype" w:cs="Arial"/>
          <w:sz w:val="24"/>
          <w:szCs w:val="24"/>
          <w:lang w:val="es-MX"/>
        </w:rPr>
      </w:pPr>
    </w:p>
    <w:p w:rsidR="006C7E90" w:rsidRPr="00C06373" w:rsidRDefault="006C7E90" w:rsidP="006C7E90">
      <w:pPr>
        <w:numPr>
          <w:ilvl w:val="0"/>
          <w:numId w:val="1"/>
        </w:numPr>
        <w:spacing w:line="360" w:lineRule="auto"/>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6C7E90" w:rsidRPr="00C06373" w:rsidRDefault="006C7E90" w:rsidP="006C7E90">
      <w:pPr>
        <w:ind w:left="720"/>
        <w:contextualSpacing/>
        <w:rPr>
          <w:rFonts w:ascii="Palatino Linotype" w:hAnsi="Palatino Linotype" w:cs="Arial"/>
          <w:sz w:val="24"/>
          <w:szCs w:val="24"/>
          <w:lang w:val="es-MX"/>
        </w:rPr>
      </w:pPr>
    </w:p>
    <w:p w:rsidR="006C7E90" w:rsidRPr="00C06373" w:rsidRDefault="006C7E90" w:rsidP="006C7E90">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2" w:name="_Toc523146006"/>
      <w:r w:rsidRPr="00C06373">
        <w:rPr>
          <w:rFonts w:ascii="Palatino Linotype" w:eastAsiaTheme="majorEastAsia" w:hAnsi="Palatino Linotype" w:cstheme="majorBidi"/>
          <w:b/>
          <w:sz w:val="24"/>
          <w:szCs w:val="24"/>
          <w:lang w:val="es-MX"/>
        </w:rPr>
        <w:t>De los requerimientos planteados en el recurso de revisión.</w:t>
      </w:r>
      <w:bookmarkEnd w:id="2"/>
    </w:p>
    <w:p w:rsidR="006C7E90" w:rsidRPr="00C06373" w:rsidRDefault="006C7E90" w:rsidP="006C7E90">
      <w:pPr>
        <w:spacing w:line="360" w:lineRule="auto"/>
        <w:ind w:left="1080"/>
        <w:contextualSpacing/>
        <w:jc w:val="both"/>
        <w:rPr>
          <w:rFonts w:ascii="Palatino Linotype" w:hAnsi="Palatino Linotype" w:cs="Arial"/>
          <w:sz w:val="24"/>
          <w:szCs w:val="24"/>
          <w:lang w:val="es-MX"/>
        </w:rPr>
      </w:pPr>
    </w:p>
    <w:p w:rsidR="006C7E90" w:rsidRPr="00C06373" w:rsidRDefault="006C7E90" w:rsidP="006C7E90">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C06373">
        <w:rPr>
          <w:rFonts w:ascii="Palatino Linotype" w:hAnsi="Palatino Linotype" w:cs="Arial"/>
          <w:sz w:val="24"/>
          <w:szCs w:val="24"/>
          <w:lang w:val="es-MX"/>
        </w:rPr>
        <w:t>El particular solicitó al Sujeto Obligado la siguiente información:</w:t>
      </w:r>
    </w:p>
    <w:p w:rsidR="006C7E90" w:rsidRPr="00C06373" w:rsidRDefault="006C7E90" w:rsidP="006C7E90">
      <w:pPr>
        <w:ind w:left="426" w:right="899"/>
        <w:jc w:val="both"/>
        <w:rPr>
          <w:rFonts w:ascii="Palatino Linotype" w:eastAsia="Times New Roman" w:hAnsi="Palatino Linotype" w:cs="Arial"/>
          <w:b/>
          <w:sz w:val="24"/>
          <w:szCs w:val="24"/>
          <w:lang w:val="es-MX" w:eastAsia="es-MX"/>
        </w:rPr>
      </w:pPr>
    </w:p>
    <w:p w:rsidR="006C7E90" w:rsidRPr="00C06373" w:rsidRDefault="006C7E90" w:rsidP="006C7E90">
      <w:pPr>
        <w:ind w:left="426" w:right="899"/>
        <w:jc w:val="both"/>
        <w:rPr>
          <w:rFonts w:ascii="Palatino Linotype" w:eastAsia="Times New Roman" w:hAnsi="Palatino Linotype" w:cs="Arial"/>
          <w:b/>
          <w:sz w:val="24"/>
          <w:szCs w:val="24"/>
          <w:lang w:val="es-MX" w:eastAsia="es-MX"/>
        </w:rPr>
      </w:pPr>
      <w:r w:rsidRPr="00C06373">
        <w:rPr>
          <w:rFonts w:ascii="Palatino Linotype" w:eastAsia="Times New Roman" w:hAnsi="Palatino Linotype" w:cs="Arial"/>
          <w:b/>
          <w:sz w:val="24"/>
          <w:szCs w:val="24"/>
          <w:lang w:val="es-MX" w:eastAsia="es-MX"/>
        </w:rPr>
        <w:t xml:space="preserve">00035/TEMOAYA/IP/2018 </w:t>
      </w:r>
    </w:p>
    <w:p w:rsidR="006C7E90" w:rsidRPr="00C06373" w:rsidRDefault="006C7E90" w:rsidP="006C7E90">
      <w:pPr>
        <w:spacing w:after="0" w:line="240" w:lineRule="auto"/>
        <w:ind w:left="426" w:right="899"/>
        <w:jc w:val="both"/>
        <w:rPr>
          <w:rFonts w:ascii="Palatino Linotype" w:eastAsia="Times New Roman" w:hAnsi="Palatino Linotype" w:cs="Arial"/>
          <w:b/>
          <w:sz w:val="24"/>
          <w:szCs w:val="24"/>
          <w:lang w:val="es-MX" w:eastAsia="es-MX"/>
        </w:rPr>
      </w:pPr>
    </w:p>
    <w:p w:rsidR="006C7E90" w:rsidRPr="00C06373" w:rsidRDefault="006C7E90" w:rsidP="006C7E90">
      <w:pPr>
        <w:spacing w:after="0" w:line="240" w:lineRule="auto"/>
        <w:ind w:left="426" w:right="899"/>
        <w:jc w:val="both"/>
        <w:rPr>
          <w:rFonts w:ascii="Palatino Linotype" w:eastAsia="Times New Roman" w:hAnsi="Palatino Linotype" w:cs="Arial"/>
          <w:i/>
          <w:lang w:val="es-MX" w:eastAsia="es-MX"/>
        </w:rPr>
      </w:pPr>
      <w:r w:rsidRPr="00C06373">
        <w:rPr>
          <w:rFonts w:ascii="Palatino Linotype" w:eastAsia="Times New Roman" w:hAnsi="Palatino Linotype" w:cs="Arial"/>
          <w:b/>
          <w:i/>
          <w:lang w:val="es-MX" w:eastAsia="es-MX"/>
        </w:rPr>
        <w:t>“</w:t>
      </w:r>
      <w:r w:rsidRPr="00C06373">
        <w:rPr>
          <w:rFonts w:ascii="Palatino Linotype" w:eastAsia="Times New Roman" w:hAnsi="Palatino Linotype" w:cs="Arial"/>
          <w:i/>
          <w:lang w:val="es-MX" w:eastAsia="es-MX"/>
        </w:rPr>
        <w:t xml:space="preserve">solicito el informe del </w:t>
      </w:r>
      <w:proofErr w:type="spellStart"/>
      <w:r w:rsidRPr="00C06373">
        <w:rPr>
          <w:rFonts w:ascii="Palatino Linotype" w:eastAsia="Times New Roman" w:hAnsi="Palatino Linotype" w:cs="Arial"/>
          <w:i/>
          <w:lang w:val="es-MX" w:eastAsia="es-MX"/>
        </w:rPr>
        <w:t>osfem</w:t>
      </w:r>
      <w:proofErr w:type="spellEnd"/>
      <w:r w:rsidRPr="00C06373">
        <w:rPr>
          <w:rFonts w:ascii="Palatino Linotype" w:eastAsia="Times New Roman" w:hAnsi="Palatino Linotype" w:cs="Arial"/>
          <w:i/>
          <w:lang w:val="es-MX" w:eastAsia="es-MX"/>
        </w:rPr>
        <w:t xml:space="preserve"> del mes de abril 2018 con sus acuses y la información enviada</w:t>
      </w:r>
      <w:r w:rsidRPr="00C06373">
        <w:rPr>
          <w:rFonts w:ascii="Palatino Linotype" w:eastAsia="Times New Roman" w:hAnsi="Palatino Linotype" w:cs="Arial"/>
          <w:b/>
          <w:i/>
          <w:lang w:val="es-MX" w:eastAsia="es-MX"/>
        </w:rPr>
        <w:t xml:space="preserve">” </w:t>
      </w:r>
      <w:r w:rsidRPr="00C06373">
        <w:rPr>
          <w:rFonts w:ascii="Palatino Linotype" w:eastAsia="Times New Roman" w:hAnsi="Palatino Linotype" w:cs="Arial"/>
          <w:i/>
          <w:lang w:val="es-MX" w:eastAsia="es-MX"/>
        </w:rPr>
        <w:t>(Sic)</w:t>
      </w:r>
    </w:p>
    <w:p w:rsidR="006C7E90" w:rsidRPr="00C06373" w:rsidRDefault="006C7E90" w:rsidP="006C7E90">
      <w:pPr>
        <w:spacing w:after="0" w:line="240" w:lineRule="auto"/>
        <w:ind w:left="426" w:right="899"/>
        <w:jc w:val="both"/>
        <w:rPr>
          <w:rFonts w:ascii="Palatino Linotype" w:eastAsia="Times New Roman" w:hAnsi="Palatino Linotype" w:cs="Arial"/>
          <w:b/>
          <w:sz w:val="24"/>
          <w:szCs w:val="24"/>
          <w:lang w:val="es-MX" w:eastAsia="es-MX"/>
        </w:rPr>
      </w:pPr>
    </w:p>
    <w:p w:rsidR="006C7E90" w:rsidRPr="00C06373" w:rsidRDefault="006C7E90" w:rsidP="006C7E90">
      <w:pPr>
        <w:spacing w:after="0" w:line="240" w:lineRule="auto"/>
        <w:ind w:left="426" w:right="899"/>
        <w:jc w:val="both"/>
        <w:rPr>
          <w:rFonts w:ascii="Palatino Linotype" w:eastAsia="Times New Roman" w:hAnsi="Palatino Linotype" w:cs="Arial"/>
          <w:b/>
          <w:sz w:val="24"/>
          <w:szCs w:val="24"/>
          <w:lang w:val="es-MX" w:eastAsia="es-MX"/>
        </w:rPr>
      </w:pPr>
      <w:r w:rsidRPr="00C06373">
        <w:rPr>
          <w:rFonts w:ascii="Palatino Linotype" w:eastAsia="Times New Roman" w:hAnsi="Palatino Linotype" w:cs="Arial"/>
          <w:b/>
          <w:sz w:val="24"/>
          <w:szCs w:val="24"/>
          <w:lang w:val="es-MX" w:eastAsia="es-MX"/>
        </w:rPr>
        <w:t>00034/TEMOAYA/IP/2018</w:t>
      </w:r>
    </w:p>
    <w:p w:rsidR="006C7E90" w:rsidRPr="00C06373" w:rsidRDefault="006C7E90" w:rsidP="006C7E90">
      <w:pPr>
        <w:spacing w:after="0" w:line="240" w:lineRule="auto"/>
        <w:ind w:left="426" w:right="899"/>
        <w:jc w:val="both"/>
        <w:rPr>
          <w:rFonts w:ascii="Palatino Linotype" w:eastAsia="Times New Roman" w:hAnsi="Palatino Linotype" w:cs="Arial"/>
          <w:b/>
          <w:sz w:val="24"/>
          <w:szCs w:val="24"/>
          <w:lang w:val="es-MX" w:eastAsia="es-MX"/>
        </w:rPr>
      </w:pPr>
    </w:p>
    <w:p w:rsidR="006C7E90" w:rsidRPr="00C06373" w:rsidRDefault="006C7E90" w:rsidP="006C7E90">
      <w:pPr>
        <w:spacing w:after="0" w:line="240" w:lineRule="auto"/>
        <w:ind w:left="426" w:right="899"/>
        <w:jc w:val="both"/>
        <w:rPr>
          <w:rFonts w:ascii="Palatino Linotype" w:eastAsia="Times New Roman" w:hAnsi="Palatino Linotype" w:cs="Arial"/>
          <w:i/>
          <w:lang w:val="es-MX" w:eastAsia="es-MX"/>
        </w:rPr>
      </w:pPr>
      <w:r w:rsidRPr="00C06373">
        <w:rPr>
          <w:rFonts w:ascii="Palatino Linotype" w:eastAsia="Times New Roman" w:hAnsi="Palatino Linotype" w:cs="Arial"/>
          <w:b/>
          <w:i/>
          <w:lang w:val="es-MX" w:eastAsia="es-MX"/>
        </w:rPr>
        <w:lastRenderedPageBreak/>
        <w:t>“</w:t>
      </w:r>
      <w:r w:rsidRPr="00C06373">
        <w:rPr>
          <w:rFonts w:ascii="Palatino Linotype" w:eastAsia="Times New Roman" w:hAnsi="Palatino Linotype" w:cs="Arial"/>
          <w:i/>
          <w:lang w:val="es-MX" w:eastAsia="es-MX"/>
        </w:rPr>
        <w:t xml:space="preserve">solicito el informe del </w:t>
      </w:r>
      <w:proofErr w:type="spellStart"/>
      <w:r w:rsidRPr="00C06373">
        <w:rPr>
          <w:rFonts w:ascii="Palatino Linotype" w:eastAsia="Times New Roman" w:hAnsi="Palatino Linotype" w:cs="Arial"/>
          <w:i/>
          <w:lang w:val="es-MX" w:eastAsia="es-MX"/>
        </w:rPr>
        <w:t>osfem</w:t>
      </w:r>
      <w:proofErr w:type="spellEnd"/>
      <w:r w:rsidRPr="00C06373">
        <w:rPr>
          <w:rFonts w:ascii="Palatino Linotype" w:eastAsia="Times New Roman" w:hAnsi="Palatino Linotype" w:cs="Arial"/>
          <w:i/>
          <w:lang w:val="es-MX" w:eastAsia="es-MX"/>
        </w:rPr>
        <w:t xml:space="preserve"> de enero con sus acuses y la información que fue enviada</w:t>
      </w:r>
      <w:r w:rsidRPr="00C06373">
        <w:rPr>
          <w:rFonts w:ascii="Palatino Linotype" w:eastAsia="Times New Roman" w:hAnsi="Palatino Linotype" w:cs="Arial"/>
          <w:b/>
          <w:i/>
          <w:lang w:val="es-MX" w:eastAsia="es-MX"/>
        </w:rPr>
        <w:t>”</w:t>
      </w:r>
      <w:r w:rsidRPr="00C06373">
        <w:rPr>
          <w:rFonts w:ascii="Palatino Linotype" w:eastAsia="Times New Roman" w:hAnsi="Palatino Linotype" w:cs="Arial"/>
          <w:i/>
          <w:lang w:val="es-MX" w:eastAsia="es-MX"/>
        </w:rPr>
        <w:t xml:space="preserve"> (Sic)</w:t>
      </w:r>
    </w:p>
    <w:p w:rsidR="006C7E90" w:rsidRPr="00C06373" w:rsidRDefault="006C7E90" w:rsidP="006C7E90">
      <w:pPr>
        <w:spacing w:after="0" w:line="360" w:lineRule="auto"/>
        <w:ind w:left="360"/>
        <w:contextualSpacing/>
        <w:jc w:val="both"/>
        <w:rPr>
          <w:rFonts w:ascii="Palatino Linotype" w:hAnsi="Palatino Linotype" w:cs="Arial"/>
          <w:sz w:val="24"/>
          <w:szCs w:val="24"/>
          <w:lang w:val="es-MX"/>
        </w:rPr>
      </w:pPr>
    </w:p>
    <w:p w:rsidR="006C7E90" w:rsidRPr="00C06373" w:rsidRDefault="006C7E90" w:rsidP="006C7E90">
      <w:pPr>
        <w:numPr>
          <w:ilvl w:val="0"/>
          <w:numId w:val="1"/>
        </w:numPr>
        <w:spacing w:after="0" w:line="360" w:lineRule="auto"/>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El Sujeto Obligado dio como respuesta lo siguiente</w:t>
      </w:r>
      <w:r w:rsidRPr="00C06373">
        <w:rPr>
          <w:rFonts w:ascii="Palatino Linotype" w:hAnsi="Palatino Linotype" w:cs="Arial"/>
          <w:i/>
          <w:sz w:val="24"/>
          <w:szCs w:val="24"/>
          <w:lang w:val="es-MX"/>
        </w:rPr>
        <w:t>:</w:t>
      </w:r>
    </w:p>
    <w:p w:rsidR="006C7E90" w:rsidRPr="00C06373" w:rsidRDefault="004B239F" w:rsidP="00C53779">
      <w:pPr>
        <w:spacing w:before="240" w:after="240" w:line="360" w:lineRule="auto"/>
        <w:ind w:left="426"/>
        <w:jc w:val="both"/>
        <w:rPr>
          <w:rFonts w:ascii="Palatino Linotype" w:hAnsi="Palatino Linotype" w:cs="Arial"/>
          <w:sz w:val="24"/>
          <w:szCs w:val="24"/>
          <w:lang w:val="es-MX"/>
        </w:rPr>
      </w:pPr>
      <w:r w:rsidRPr="00C06373">
        <w:rPr>
          <w:rFonts w:ascii="Palatino Linotype" w:hAnsi="Palatino Linotype" w:cs="Arial"/>
          <w:i/>
          <w:sz w:val="24"/>
          <w:szCs w:val="24"/>
          <w:lang w:val="es-MX"/>
        </w:rPr>
        <w:t xml:space="preserve">Solicitud </w:t>
      </w:r>
      <w:r w:rsidR="00C53779" w:rsidRPr="00C06373">
        <w:rPr>
          <w:rFonts w:ascii="Palatino Linotype" w:eastAsia="Times New Roman" w:hAnsi="Palatino Linotype" w:cs="Times New Roman"/>
          <w:i/>
          <w:sz w:val="24"/>
          <w:szCs w:val="24"/>
          <w:lang w:eastAsia="es-ES"/>
        </w:rPr>
        <w:t>00035/TEMOAYA/IP/2018:</w:t>
      </w:r>
    </w:p>
    <w:p w:rsidR="006C7E90" w:rsidRPr="00C06373" w:rsidRDefault="004B239F" w:rsidP="006C7E90">
      <w:pPr>
        <w:spacing w:after="0" w:line="360" w:lineRule="auto"/>
        <w:ind w:left="426" w:right="616"/>
        <w:contextualSpacing/>
        <w:jc w:val="both"/>
        <w:rPr>
          <w:rFonts w:ascii="Palatino Linotype" w:hAnsi="Palatino Linotype" w:cs="Arial"/>
        </w:rPr>
      </w:pPr>
      <w:r w:rsidRPr="00C06373">
        <w:rPr>
          <w:rFonts w:ascii="Palatino Linotype" w:hAnsi="Palatino Linotype"/>
          <w:noProof/>
          <w:lang w:val="es-MX" w:eastAsia="es-MX"/>
        </w:rPr>
        <w:drawing>
          <wp:inline distT="0" distB="0" distL="0" distR="0" wp14:anchorId="4D579A4D" wp14:editId="34C75703">
            <wp:extent cx="4945075" cy="5269530"/>
            <wp:effectExtent l="0" t="0" r="825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409" t="12470" r="29976" b="14779"/>
                    <a:stretch/>
                  </pic:blipFill>
                  <pic:spPr bwMode="auto">
                    <a:xfrm>
                      <a:off x="0" y="0"/>
                      <a:ext cx="4995925" cy="5323717"/>
                    </a:xfrm>
                    <a:prstGeom prst="rect">
                      <a:avLst/>
                    </a:prstGeom>
                    <a:ln>
                      <a:noFill/>
                    </a:ln>
                    <a:extLst>
                      <a:ext uri="{53640926-AAD7-44D8-BBD7-CCE9431645EC}">
                        <a14:shadowObscured xmlns:a14="http://schemas.microsoft.com/office/drawing/2010/main"/>
                      </a:ext>
                    </a:extLst>
                  </pic:spPr>
                </pic:pic>
              </a:graphicData>
            </a:graphic>
          </wp:inline>
        </w:drawing>
      </w:r>
    </w:p>
    <w:p w:rsidR="00C53779" w:rsidRPr="00C06373" w:rsidRDefault="00C53779" w:rsidP="00C53779">
      <w:pPr>
        <w:spacing w:before="240" w:after="240" w:line="360" w:lineRule="auto"/>
        <w:ind w:left="426"/>
        <w:rPr>
          <w:rFonts w:ascii="Palatino Linotype" w:eastAsia="Times New Roman" w:hAnsi="Palatino Linotype" w:cs="Times New Roman"/>
          <w:i/>
          <w:sz w:val="24"/>
          <w:szCs w:val="24"/>
          <w:lang w:eastAsia="es-ES"/>
        </w:rPr>
      </w:pPr>
      <w:r w:rsidRPr="00C06373">
        <w:rPr>
          <w:rFonts w:ascii="Palatino Linotype" w:hAnsi="Palatino Linotype" w:cs="Arial"/>
          <w:i/>
        </w:rPr>
        <w:lastRenderedPageBreak/>
        <w:t xml:space="preserve">Solicitud </w:t>
      </w:r>
      <w:r w:rsidRPr="00C06373">
        <w:rPr>
          <w:rFonts w:ascii="Palatino Linotype" w:eastAsia="Times New Roman" w:hAnsi="Palatino Linotype" w:cs="Times New Roman"/>
          <w:i/>
          <w:sz w:val="24"/>
          <w:szCs w:val="24"/>
          <w:lang w:eastAsia="es-ES"/>
        </w:rPr>
        <w:t>00034/TEMOAYA/IP/2018:</w:t>
      </w:r>
    </w:p>
    <w:p w:rsidR="00C53779" w:rsidRPr="00C06373" w:rsidRDefault="00C53779" w:rsidP="00C53779">
      <w:pPr>
        <w:spacing w:before="240" w:after="240" w:line="360" w:lineRule="auto"/>
        <w:ind w:left="426"/>
        <w:rPr>
          <w:rFonts w:ascii="Palatino Linotype" w:eastAsia="Times New Roman" w:hAnsi="Palatino Linotype" w:cs="Times New Roman"/>
          <w:b/>
          <w:i/>
          <w:sz w:val="24"/>
          <w:szCs w:val="24"/>
          <w:lang w:eastAsia="es-ES"/>
        </w:rPr>
      </w:pPr>
      <w:r w:rsidRPr="00C06373">
        <w:rPr>
          <w:rFonts w:ascii="Palatino Linotype" w:hAnsi="Palatino Linotype"/>
          <w:noProof/>
          <w:lang w:val="es-MX" w:eastAsia="es-MX"/>
        </w:rPr>
        <w:drawing>
          <wp:inline distT="0" distB="0" distL="0" distR="0" wp14:anchorId="4650B07C" wp14:editId="208F59DE">
            <wp:extent cx="5224660" cy="518647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870" t="29970" r="33909" b="9639"/>
                    <a:stretch/>
                  </pic:blipFill>
                  <pic:spPr bwMode="auto">
                    <a:xfrm>
                      <a:off x="0" y="0"/>
                      <a:ext cx="5255094" cy="5216689"/>
                    </a:xfrm>
                    <a:prstGeom prst="rect">
                      <a:avLst/>
                    </a:prstGeom>
                    <a:ln>
                      <a:noFill/>
                    </a:ln>
                    <a:extLst>
                      <a:ext uri="{53640926-AAD7-44D8-BBD7-CCE9431645EC}">
                        <a14:shadowObscured xmlns:a14="http://schemas.microsoft.com/office/drawing/2010/main"/>
                      </a:ext>
                    </a:extLst>
                  </pic:spPr>
                </pic:pic>
              </a:graphicData>
            </a:graphic>
          </wp:inline>
        </w:drawing>
      </w:r>
    </w:p>
    <w:p w:rsidR="006C7E90" w:rsidRPr="00C06373" w:rsidRDefault="006C7E90" w:rsidP="006C7E90">
      <w:pPr>
        <w:pStyle w:val="Prrafodelista"/>
        <w:widowControl w:val="0"/>
        <w:numPr>
          <w:ilvl w:val="0"/>
          <w:numId w:val="1"/>
        </w:numPr>
        <w:autoSpaceDE w:val="0"/>
        <w:autoSpaceDN w:val="0"/>
        <w:adjustRightInd w:val="0"/>
        <w:spacing w:line="360" w:lineRule="auto"/>
        <w:ind w:right="850"/>
        <w:jc w:val="both"/>
        <w:rPr>
          <w:rFonts w:ascii="Palatino Linotype" w:hAnsi="Palatino Linotype" w:cs="Arial"/>
          <w:b/>
        </w:rPr>
      </w:pPr>
      <w:r w:rsidRPr="00C06373">
        <w:rPr>
          <w:rFonts w:ascii="Palatino Linotype" w:hAnsi="Palatino Linotype" w:cs="Arial"/>
          <w:lang w:val="es-MX"/>
        </w:rPr>
        <w:t>En ese sentido,</w:t>
      </w:r>
      <w:r w:rsidRPr="00C06373">
        <w:rPr>
          <w:rFonts w:ascii="Palatino Linotype" w:hAnsi="Palatino Linotype" w:cs="Arial"/>
          <w:b/>
          <w:lang w:val="es-MX"/>
        </w:rPr>
        <w:t xml:space="preserve"> </w:t>
      </w:r>
      <w:r w:rsidRPr="00C06373">
        <w:rPr>
          <w:rFonts w:ascii="Palatino Linotype" w:hAnsi="Palatino Linotype" w:cs="Arial"/>
          <w:lang w:val="es-MX"/>
        </w:rPr>
        <w:t>el particular se inconformó en cuanto a la</w:t>
      </w:r>
      <w:r w:rsidR="00C53779" w:rsidRPr="00C06373">
        <w:rPr>
          <w:rFonts w:ascii="Palatino Linotype" w:hAnsi="Palatino Linotype" w:cs="Arial"/>
          <w:lang w:val="es-MX"/>
        </w:rPr>
        <w:t>s</w:t>
      </w:r>
      <w:r w:rsidRPr="00C06373">
        <w:rPr>
          <w:rFonts w:ascii="Palatino Linotype" w:hAnsi="Palatino Linotype" w:cs="Arial"/>
          <w:lang w:val="es-MX"/>
        </w:rPr>
        <w:t xml:space="preserve"> respuesta</w:t>
      </w:r>
      <w:r w:rsidR="00C53779" w:rsidRPr="00C06373">
        <w:rPr>
          <w:rFonts w:ascii="Palatino Linotype" w:hAnsi="Palatino Linotype" w:cs="Arial"/>
          <w:lang w:val="es-MX"/>
        </w:rPr>
        <w:t>s</w:t>
      </w:r>
      <w:r w:rsidRPr="00C06373">
        <w:rPr>
          <w:rFonts w:ascii="Palatino Linotype" w:hAnsi="Palatino Linotype" w:cs="Arial"/>
          <w:lang w:val="es-MX"/>
        </w:rPr>
        <w:t xml:space="preserve"> y señala como motivos de inconformidad:</w:t>
      </w:r>
    </w:p>
    <w:p w:rsidR="00C53779" w:rsidRPr="00C06373" w:rsidRDefault="00C53779" w:rsidP="00C53779">
      <w:pPr>
        <w:pStyle w:val="Prrafodelista"/>
        <w:widowControl w:val="0"/>
        <w:autoSpaceDE w:val="0"/>
        <w:autoSpaceDN w:val="0"/>
        <w:adjustRightInd w:val="0"/>
        <w:spacing w:line="360" w:lineRule="auto"/>
        <w:ind w:left="360" w:right="850"/>
        <w:jc w:val="both"/>
        <w:rPr>
          <w:rFonts w:ascii="Palatino Linotype" w:hAnsi="Palatino Linotype" w:cs="Arial"/>
          <w:b/>
        </w:rPr>
      </w:pPr>
    </w:p>
    <w:p w:rsidR="006C7E90" w:rsidRPr="00C06373" w:rsidRDefault="006C7E90" w:rsidP="006C7E90">
      <w:pPr>
        <w:pStyle w:val="Prrafodelista"/>
        <w:widowControl w:val="0"/>
        <w:autoSpaceDE w:val="0"/>
        <w:autoSpaceDN w:val="0"/>
        <w:adjustRightInd w:val="0"/>
        <w:spacing w:line="360" w:lineRule="auto"/>
        <w:ind w:left="360" w:right="850"/>
        <w:jc w:val="both"/>
        <w:rPr>
          <w:rFonts w:ascii="Palatino Linotype" w:hAnsi="Palatino Linotype" w:cs="Arial"/>
          <w:b/>
        </w:rPr>
      </w:pPr>
      <w:r w:rsidRPr="00C06373">
        <w:rPr>
          <w:rFonts w:ascii="Palatino Linotype" w:hAnsi="Palatino Linotype" w:cs="Arial"/>
          <w:b/>
        </w:rPr>
        <w:lastRenderedPageBreak/>
        <w:t xml:space="preserve">02297/INFOEM/IP/RR/2018  </w:t>
      </w:r>
    </w:p>
    <w:p w:rsidR="006C7E90" w:rsidRPr="00C06373" w:rsidRDefault="006C7E90" w:rsidP="006C7E90">
      <w:pPr>
        <w:widowControl w:val="0"/>
        <w:autoSpaceDE w:val="0"/>
        <w:autoSpaceDN w:val="0"/>
        <w:adjustRightInd w:val="0"/>
        <w:spacing w:before="240" w:after="240" w:line="240" w:lineRule="auto"/>
        <w:ind w:left="851" w:right="850"/>
        <w:jc w:val="both"/>
        <w:rPr>
          <w:rFonts w:ascii="Palatino Linotype" w:eastAsia="Times New Roman" w:hAnsi="Palatino Linotype" w:cs="Arial"/>
          <w:color w:val="000000"/>
          <w:lang w:eastAsia="es-ES"/>
        </w:rPr>
      </w:pPr>
      <w:r w:rsidRPr="00C06373">
        <w:rPr>
          <w:rFonts w:ascii="Palatino Linotype" w:eastAsia="Times New Roman" w:hAnsi="Palatino Linotype" w:cs="Arial"/>
          <w:i/>
          <w:color w:val="000000"/>
          <w:lang w:eastAsia="es-ES"/>
        </w:rPr>
        <w:t xml:space="preserve">“Me negaron la información que solicite, la cual solicite el informe del OSFEM del mes de abril con sus acuses y sus respectivos discos, anteriormente ya </w:t>
      </w:r>
      <w:proofErr w:type="spellStart"/>
      <w:r w:rsidRPr="00C06373">
        <w:rPr>
          <w:rFonts w:ascii="Palatino Linotype" w:eastAsia="Times New Roman" w:hAnsi="Palatino Linotype" w:cs="Arial"/>
          <w:i/>
          <w:color w:val="000000"/>
          <w:lang w:eastAsia="es-ES"/>
        </w:rPr>
        <w:t>habia</w:t>
      </w:r>
      <w:proofErr w:type="spellEnd"/>
      <w:r w:rsidRPr="00C06373">
        <w:rPr>
          <w:rFonts w:ascii="Palatino Linotype" w:eastAsia="Times New Roman" w:hAnsi="Palatino Linotype" w:cs="Arial"/>
          <w:i/>
          <w:color w:val="000000"/>
          <w:lang w:eastAsia="es-ES"/>
        </w:rPr>
        <w:t xml:space="preserve"> solicitado tal información y se me </w:t>
      </w:r>
      <w:proofErr w:type="spellStart"/>
      <w:r w:rsidRPr="00C06373">
        <w:rPr>
          <w:rFonts w:ascii="Palatino Linotype" w:eastAsia="Times New Roman" w:hAnsi="Palatino Linotype" w:cs="Arial"/>
          <w:i/>
          <w:color w:val="000000"/>
          <w:lang w:eastAsia="es-ES"/>
        </w:rPr>
        <w:t>habia</w:t>
      </w:r>
      <w:proofErr w:type="spellEnd"/>
      <w:r w:rsidRPr="00C06373">
        <w:rPr>
          <w:rFonts w:ascii="Palatino Linotype" w:eastAsia="Times New Roman" w:hAnsi="Palatino Linotype" w:cs="Arial"/>
          <w:i/>
          <w:color w:val="000000"/>
          <w:lang w:eastAsia="es-ES"/>
        </w:rPr>
        <w:t xml:space="preserve"> otorgado mediante el sistema, ahora resulta que para tener acceso a la misma tengo que acudir a </w:t>
      </w:r>
      <w:proofErr w:type="spellStart"/>
      <w:r w:rsidRPr="00C06373">
        <w:rPr>
          <w:rFonts w:ascii="Palatino Linotype" w:eastAsia="Times New Roman" w:hAnsi="Palatino Linotype" w:cs="Arial"/>
          <w:i/>
          <w:color w:val="000000"/>
          <w:lang w:eastAsia="es-ES"/>
        </w:rPr>
        <w:t>tesoreria</w:t>
      </w:r>
      <w:proofErr w:type="spellEnd"/>
      <w:r w:rsidRPr="00C06373">
        <w:rPr>
          <w:rFonts w:ascii="Palatino Linotype" w:eastAsia="Times New Roman" w:hAnsi="Palatino Linotype" w:cs="Arial"/>
          <w:i/>
          <w:color w:val="000000"/>
          <w:lang w:eastAsia="es-ES"/>
        </w:rPr>
        <w:t xml:space="preserve"> municipal para recibir dicha información. </w:t>
      </w:r>
      <w:proofErr w:type="gramStart"/>
      <w:r w:rsidRPr="00C06373">
        <w:rPr>
          <w:rFonts w:ascii="Palatino Linotype" w:eastAsia="Times New Roman" w:hAnsi="Palatino Linotype" w:cs="Arial"/>
          <w:i/>
          <w:color w:val="000000"/>
          <w:lang w:eastAsia="es-ES"/>
        </w:rPr>
        <w:t>anexo</w:t>
      </w:r>
      <w:proofErr w:type="gramEnd"/>
      <w:r w:rsidRPr="00C06373">
        <w:rPr>
          <w:rFonts w:ascii="Palatino Linotype" w:eastAsia="Times New Roman" w:hAnsi="Palatino Linotype" w:cs="Arial"/>
          <w:i/>
          <w:color w:val="000000"/>
          <w:lang w:eastAsia="es-ES"/>
        </w:rPr>
        <w:t xml:space="preserve"> capturas de pantalla donde se denota que efectivamente se me </w:t>
      </w:r>
      <w:proofErr w:type="spellStart"/>
      <w:r w:rsidRPr="00C06373">
        <w:rPr>
          <w:rFonts w:ascii="Palatino Linotype" w:eastAsia="Times New Roman" w:hAnsi="Palatino Linotype" w:cs="Arial"/>
          <w:i/>
          <w:color w:val="000000"/>
          <w:lang w:eastAsia="es-ES"/>
        </w:rPr>
        <w:t>habia</w:t>
      </w:r>
      <w:proofErr w:type="spellEnd"/>
      <w:r w:rsidRPr="00C06373">
        <w:rPr>
          <w:rFonts w:ascii="Palatino Linotype" w:eastAsia="Times New Roman" w:hAnsi="Palatino Linotype" w:cs="Arial"/>
          <w:i/>
          <w:color w:val="000000"/>
          <w:lang w:eastAsia="es-ES"/>
        </w:rPr>
        <w:t xml:space="preserve"> hecho entrega de dicha información mediante el sistema SAIMEX”</w:t>
      </w:r>
      <w:r w:rsidRPr="00C06373">
        <w:rPr>
          <w:rFonts w:ascii="Palatino Linotype" w:eastAsia="Times New Roman" w:hAnsi="Palatino Linotype" w:cs="Arial"/>
          <w:color w:val="000000"/>
          <w:lang w:eastAsia="es-ES"/>
        </w:rPr>
        <w:t xml:space="preserve"> (Sic)</w:t>
      </w:r>
    </w:p>
    <w:p w:rsidR="006C7E90" w:rsidRPr="00C06373" w:rsidRDefault="006C7E90" w:rsidP="006C7E90">
      <w:pPr>
        <w:widowControl w:val="0"/>
        <w:autoSpaceDE w:val="0"/>
        <w:autoSpaceDN w:val="0"/>
        <w:adjustRightInd w:val="0"/>
        <w:spacing w:before="240" w:after="240" w:line="240" w:lineRule="auto"/>
        <w:ind w:left="426" w:right="850"/>
        <w:jc w:val="both"/>
        <w:rPr>
          <w:rFonts w:ascii="Palatino Linotype" w:eastAsia="Times New Roman" w:hAnsi="Palatino Linotype" w:cs="Arial"/>
          <w:b/>
          <w:sz w:val="24"/>
          <w:szCs w:val="24"/>
          <w:lang w:eastAsia="es-ES"/>
        </w:rPr>
      </w:pPr>
      <w:r w:rsidRPr="00C06373">
        <w:rPr>
          <w:rFonts w:ascii="Palatino Linotype" w:eastAsia="Times New Roman" w:hAnsi="Palatino Linotype" w:cs="Arial"/>
          <w:b/>
          <w:sz w:val="24"/>
          <w:szCs w:val="24"/>
          <w:lang w:eastAsia="es-ES"/>
        </w:rPr>
        <w:t xml:space="preserve">02298/INFOEM/IP/RR/2018  </w:t>
      </w:r>
    </w:p>
    <w:p w:rsidR="006C7E90" w:rsidRPr="00C06373" w:rsidRDefault="006C7E90" w:rsidP="006C7E90">
      <w:pPr>
        <w:widowControl w:val="0"/>
        <w:autoSpaceDE w:val="0"/>
        <w:autoSpaceDN w:val="0"/>
        <w:adjustRightInd w:val="0"/>
        <w:spacing w:before="240" w:after="240" w:line="240" w:lineRule="auto"/>
        <w:ind w:left="851" w:right="899"/>
        <w:jc w:val="both"/>
        <w:rPr>
          <w:rFonts w:ascii="Palatino Linotype" w:eastAsia="Times New Roman" w:hAnsi="Palatino Linotype" w:cs="Arial"/>
          <w:color w:val="000000"/>
          <w:lang w:eastAsia="es-ES"/>
        </w:rPr>
      </w:pPr>
      <w:r w:rsidRPr="00C06373">
        <w:rPr>
          <w:rFonts w:ascii="Palatino Linotype" w:eastAsia="Times New Roman" w:hAnsi="Palatino Linotype" w:cs="Arial"/>
          <w:i/>
          <w:color w:val="000000"/>
          <w:lang w:eastAsia="es-ES"/>
        </w:rPr>
        <w:t xml:space="preserve">“Anteriormente me </w:t>
      </w:r>
      <w:proofErr w:type="spellStart"/>
      <w:r w:rsidRPr="00C06373">
        <w:rPr>
          <w:rFonts w:ascii="Palatino Linotype" w:eastAsia="Times New Roman" w:hAnsi="Palatino Linotype" w:cs="Arial"/>
          <w:i/>
          <w:color w:val="000000"/>
          <w:lang w:eastAsia="es-ES"/>
        </w:rPr>
        <w:t>habian</w:t>
      </w:r>
      <w:proofErr w:type="spellEnd"/>
      <w:r w:rsidRPr="00C06373">
        <w:rPr>
          <w:rFonts w:ascii="Palatino Linotype" w:eastAsia="Times New Roman" w:hAnsi="Palatino Linotype" w:cs="Arial"/>
          <w:i/>
          <w:color w:val="000000"/>
          <w:lang w:eastAsia="es-ES"/>
        </w:rPr>
        <w:t xml:space="preserve"> entregado la información que </w:t>
      </w:r>
      <w:proofErr w:type="spellStart"/>
      <w:r w:rsidRPr="00C06373">
        <w:rPr>
          <w:rFonts w:ascii="Palatino Linotype" w:eastAsia="Times New Roman" w:hAnsi="Palatino Linotype" w:cs="Arial"/>
          <w:i/>
          <w:color w:val="000000"/>
          <w:lang w:eastAsia="es-ES"/>
        </w:rPr>
        <w:t>habia</w:t>
      </w:r>
      <w:proofErr w:type="spellEnd"/>
      <w:r w:rsidRPr="00C06373">
        <w:rPr>
          <w:rFonts w:ascii="Palatino Linotype" w:eastAsia="Times New Roman" w:hAnsi="Palatino Linotype" w:cs="Arial"/>
          <w:i/>
          <w:color w:val="000000"/>
          <w:lang w:eastAsia="es-ES"/>
        </w:rPr>
        <w:t xml:space="preserve"> solicitado, ahora resulta que la Actual Titular Karen con la finalidad de que yo no tenga la información que solicite, me niega tal </w:t>
      </w:r>
      <w:proofErr w:type="spellStart"/>
      <w:r w:rsidRPr="00C06373">
        <w:rPr>
          <w:rFonts w:ascii="Palatino Linotype" w:eastAsia="Times New Roman" w:hAnsi="Palatino Linotype" w:cs="Arial"/>
          <w:i/>
          <w:color w:val="000000"/>
          <w:lang w:eastAsia="es-ES"/>
        </w:rPr>
        <w:t>informacion</w:t>
      </w:r>
      <w:proofErr w:type="spellEnd"/>
      <w:r w:rsidRPr="00C06373">
        <w:rPr>
          <w:rFonts w:ascii="Palatino Linotype" w:eastAsia="Times New Roman" w:hAnsi="Palatino Linotype" w:cs="Arial"/>
          <w:i/>
          <w:color w:val="000000"/>
          <w:lang w:eastAsia="es-ES"/>
        </w:rPr>
        <w:t xml:space="preserve">, </w:t>
      </w:r>
      <w:proofErr w:type="spellStart"/>
      <w:r w:rsidRPr="00C06373">
        <w:rPr>
          <w:rFonts w:ascii="Palatino Linotype" w:eastAsia="Times New Roman" w:hAnsi="Palatino Linotype" w:cs="Arial"/>
          <w:i/>
          <w:color w:val="000000"/>
          <w:lang w:eastAsia="es-ES"/>
        </w:rPr>
        <w:t>obligandome</w:t>
      </w:r>
      <w:proofErr w:type="spellEnd"/>
      <w:r w:rsidRPr="00C06373">
        <w:rPr>
          <w:rFonts w:ascii="Palatino Linotype" w:eastAsia="Times New Roman" w:hAnsi="Palatino Linotype" w:cs="Arial"/>
          <w:i/>
          <w:color w:val="000000"/>
          <w:lang w:eastAsia="es-ES"/>
        </w:rPr>
        <w:t xml:space="preserve"> a ir al ayuntamiento y es mi derecho acceder a la información. Mi maquina cuenta con una velocidad de descarga de 2mb y sé que tesorería cuenta con una línea directa que se hizo contrato con </w:t>
      </w:r>
      <w:proofErr w:type="spellStart"/>
      <w:r w:rsidRPr="00C06373">
        <w:rPr>
          <w:rFonts w:ascii="Palatino Linotype" w:eastAsia="Times New Roman" w:hAnsi="Palatino Linotype" w:cs="Arial"/>
          <w:i/>
          <w:color w:val="000000"/>
          <w:lang w:eastAsia="es-ES"/>
        </w:rPr>
        <w:t>metrocarrier</w:t>
      </w:r>
      <w:proofErr w:type="spellEnd"/>
      <w:r w:rsidRPr="00C06373">
        <w:rPr>
          <w:rFonts w:ascii="Palatino Linotype" w:eastAsia="Times New Roman" w:hAnsi="Palatino Linotype" w:cs="Arial"/>
          <w:i/>
          <w:color w:val="000000"/>
          <w:lang w:eastAsia="es-ES"/>
        </w:rPr>
        <w:t xml:space="preserve"> y puede subir archivos a </w:t>
      </w:r>
      <w:proofErr w:type="spellStart"/>
      <w:r w:rsidRPr="00C06373">
        <w:rPr>
          <w:rFonts w:ascii="Palatino Linotype" w:eastAsia="Times New Roman" w:hAnsi="Palatino Linotype" w:cs="Arial"/>
          <w:i/>
          <w:color w:val="000000"/>
          <w:lang w:eastAsia="es-ES"/>
        </w:rPr>
        <w:t>a</w:t>
      </w:r>
      <w:proofErr w:type="spellEnd"/>
      <w:r w:rsidRPr="00C06373">
        <w:rPr>
          <w:rFonts w:ascii="Palatino Linotype" w:eastAsia="Times New Roman" w:hAnsi="Palatino Linotype" w:cs="Arial"/>
          <w:i/>
          <w:color w:val="000000"/>
          <w:lang w:eastAsia="es-ES"/>
        </w:rPr>
        <w:t xml:space="preserve"> gran velocidad.”</w:t>
      </w:r>
      <w:r w:rsidRPr="00C06373">
        <w:rPr>
          <w:rFonts w:ascii="Palatino Linotype" w:eastAsia="Times New Roman" w:hAnsi="Palatino Linotype" w:cs="Arial"/>
          <w:color w:val="000000"/>
          <w:lang w:eastAsia="es-ES"/>
        </w:rPr>
        <w:t xml:space="preserve"> (Sic)</w:t>
      </w:r>
    </w:p>
    <w:p w:rsidR="006C7E90" w:rsidRPr="00C06373" w:rsidRDefault="006C7E90" w:rsidP="006C7E90">
      <w:pPr>
        <w:numPr>
          <w:ilvl w:val="0"/>
          <w:numId w:val="1"/>
        </w:numPr>
        <w:spacing w:after="0" w:line="360" w:lineRule="auto"/>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Si bien es de destacar, que el Sujeto Obligado atiende la solicitud, sin embargo, en el estudio y desarrollo de dicha resolución fueron invocados los llamados “actos consentidos”, tal y como se observa en las siguientes líneas de la resolución en comento:</w:t>
      </w:r>
    </w:p>
    <w:p w:rsidR="004B239F" w:rsidRPr="00C06373" w:rsidRDefault="004B239F" w:rsidP="004B239F">
      <w:pPr>
        <w:spacing w:before="100" w:beforeAutospacing="1" w:after="100" w:afterAutospacing="1" w:line="360" w:lineRule="auto"/>
        <w:ind w:left="426"/>
        <w:jc w:val="both"/>
        <w:rPr>
          <w:rFonts w:ascii="Palatino Linotype" w:hAnsi="Palatino Linotype" w:cs="Arial"/>
          <w:i/>
        </w:rPr>
      </w:pPr>
      <w:r w:rsidRPr="00C06373">
        <w:rPr>
          <w:rFonts w:ascii="Palatino Linotype" w:hAnsi="Palatino Linotype" w:cs="Arial"/>
          <w:i/>
        </w:rPr>
        <w:t xml:space="preserve">Asimismo, es de considerar que LA RECURRENTE al interponer los medios de defensa que nos ocupan no impugnó todos los rubros vertidos como respuesta por parte del SUJETO OBLIGADO, ya que sólo se inconformó respecto del cambio de modalidad, por tal motivo, la respuesta, respecto a los rubros no combatidos, quedan firmes ante la falta de impugnación en específico, pues se entiende que LA RECURRENTE ésta conforme con la información entregada al no contravenir la misma.  </w:t>
      </w:r>
    </w:p>
    <w:p w:rsidR="004B239F" w:rsidRPr="00C06373" w:rsidRDefault="004B239F" w:rsidP="004B239F">
      <w:pPr>
        <w:spacing w:before="100" w:beforeAutospacing="1" w:after="100" w:afterAutospacing="1" w:line="360" w:lineRule="auto"/>
        <w:ind w:left="426"/>
        <w:jc w:val="both"/>
        <w:rPr>
          <w:rFonts w:ascii="Palatino Linotype" w:hAnsi="Palatino Linotype" w:cs="Arial"/>
          <w:i/>
        </w:rPr>
      </w:pPr>
      <w:r w:rsidRPr="00C06373">
        <w:rPr>
          <w:rFonts w:ascii="Palatino Linotype" w:hAnsi="Palatino Linotype" w:cs="Arial"/>
          <w:i/>
        </w:rPr>
        <w:lastRenderedPageBreak/>
        <w:t>Sirve de sustento a lo anterior, por analogía la tesis jurisprudencial número VI.3o.C. J/60, publicada en el Semanario Judicial de la Federación y su Gaceta bajo el número de registro 176,608 que a la letra dice:</w:t>
      </w:r>
    </w:p>
    <w:p w:rsidR="004B239F" w:rsidRPr="00C06373" w:rsidRDefault="004B239F" w:rsidP="004B239F">
      <w:pPr>
        <w:spacing w:before="100" w:beforeAutospacing="1" w:after="100" w:afterAutospacing="1" w:line="360" w:lineRule="auto"/>
        <w:ind w:left="426"/>
        <w:jc w:val="both"/>
        <w:rPr>
          <w:rFonts w:ascii="Palatino Linotype" w:hAnsi="Palatino Linotype" w:cs="Arial"/>
          <w:i/>
        </w:rPr>
      </w:pPr>
      <w:r w:rsidRPr="00C06373">
        <w:rPr>
          <w:rFonts w:ascii="Palatino Linotype" w:hAnsi="Palatino Linotype" w:cs="Arial"/>
          <w:i/>
        </w:rPr>
        <w:t xml:space="preserve"> “ACTOS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(Sic)</w:t>
      </w:r>
    </w:p>
    <w:p w:rsidR="004B239F" w:rsidRPr="00C06373" w:rsidRDefault="004B239F" w:rsidP="004B239F">
      <w:pPr>
        <w:spacing w:before="100" w:beforeAutospacing="1" w:after="100" w:afterAutospacing="1" w:line="360" w:lineRule="auto"/>
        <w:ind w:left="426"/>
        <w:jc w:val="both"/>
        <w:rPr>
          <w:rFonts w:ascii="Palatino Linotype" w:hAnsi="Palatino Linotype" w:cs="Arial"/>
          <w:i/>
        </w:rPr>
      </w:pPr>
      <w:r w:rsidRPr="00C06373">
        <w:rPr>
          <w:rFonts w:ascii="Palatino Linotype" w:hAnsi="Palatino Linotype" w:cs="Arial"/>
          <w:i/>
        </w:rPr>
        <w:t>Lo anterior es así, debido a que, cuando LA RECURRENTE impugnó las respuestas del SUJETO OBLIGADO, no expresó razón o motivo de inconformidad en contra de los acuses remitidos correspondientes a los informes de enero y abril de 2018 remitidos al Órgano Superior de Fiscalización del Estado de México, por lo que, dichos rubros deben declararse atendidos, pues se entiende que LA RECURRENTE está conforme con la información al no contravenir la misma.</w:t>
      </w:r>
    </w:p>
    <w:p w:rsidR="004B239F" w:rsidRPr="00C06373" w:rsidRDefault="004B239F" w:rsidP="004B239F">
      <w:pPr>
        <w:spacing w:before="100" w:beforeAutospacing="1" w:after="100" w:afterAutospacing="1" w:line="360" w:lineRule="auto"/>
        <w:ind w:left="426"/>
        <w:jc w:val="both"/>
        <w:rPr>
          <w:rFonts w:ascii="Palatino Linotype" w:hAnsi="Palatino Linotype" w:cs="Arial"/>
          <w:i/>
        </w:rPr>
      </w:pPr>
      <w:r w:rsidRPr="00C06373">
        <w:rPr>
          <w:rFonts w:ascii="Palatino Linotype" w:hAnsi="Palatino Linotype" w:cs="Arial"/>
          <w:i/>
        </w:rPr>
        <w:t>Consecuentemente, la parte de la respuesta que no fue impugnada debe declararse consentida por LA RECURRENTE, toda vez que no realizó manifestaciones de inconformidad; por lo que, no pueden producirse efectos jurídicos tendentes a revocar, confirmar o modificar el acto reclamado ya que se infiere su consentimiento ante la falta de impugnación eficaz.</w:t>
      </w:r>
    </w:p>
    <w:p w:rsidR="004B239F" w:rsidRPr="00C06373" w:rsidRDefault="004B239F" w:rsidP="004B239F">
      <w:pPr>
        <w:spacing w:before="100" w:beforeAutospacing="1" w:after="100" w:afterAutospacing="1" w:line="360" w:lineRule="auto"/>
        <w:ind w:left="426"/>
        <w:jc w:val="both"/>
        <w:rPr>
          <w:rFonts w:ascii="Palatino Linotype" w:hAnsi="Palatino Linotype" w:cs="Arial"/>
          <w:i/>
        </w:rPr>
      </w:pPr>
      <w:r w:rsidRPr="00C06373">
        <w:rPr>
          <w:rFonts w:ascii="Palatino Linotype" w:hAnsi="Palatino Linotype" w:cs="Arial"/>
          <w:i/>
        </w:rPr>
        <w:t>Sirve de apoyo a lo anterior, por analogía, la Tesis Jurisprudencial Número 3ª./J.7/91, Publicada en el Semanario Judicial de la Federación y su Gaceta bajo el número de registro 174,177, que establece lo siguiente:</w:t>
      </w:r>
    </w:p>
    <w:p w:rsidR="004B239F" w:rsidRPr="00C06373" w:rsidRDefault="004B239F" w:rsidP="004B239F">
      <w:pPr>
        <w:spacing w:before="100" w:beforeAutospacing="1" w:after="100" w:afterAutospacing="1" w:line="360" w:lineRule="auto"/>
        <w:ind w:left="426"/>
        <w:jc w:val="both"/>
        <w:rPr>
          <w:rFonts w:ascii="Palatino Linotype" w:hAnsi="Palatino Linotype" w:cs="Arial"/>
          <w:i/>
        </w:rPr>
      </w:pPr>
      <w:r w:rsidRPr="00C06373">
        <w:rPr>
          <w:rFonts w:ascii="Palatino Linotype" w:hAnsi="Palatino Linotype" w:cs="Arial"/>
          <w:i/>
        </w:rPr>
        <w:lastRenderedPageBreak/>
        <w:t xml:space="preserve"> “REVISIÓN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(Sic)</w:t>
      </w:r>
    </w:p>
    <w:p w:rsidR="004B239F" w:rsidRPr="00C06373" w:rsidRDefault="004B239F" w:rsidP="004B239F">
      <w:pPr>
        <w:pStyle w:val="Prrafodelista"/>
        <w:tabs>
          <w:tab w:val="left" w:pos="8080"/>
        </w:tabs>
        <w:spacing w:before="100" w:beforeAutospacing="1" w:after="100" w:afterAutospacing="1" w:line="360" w:lineRule="auto"/>
        <w:ind w:left="360" w:right="49"/>
        <w:jc w:val="both"/>
        <w:rPr>
          <w:rFonts w:ascii="Palatino Linotype" w:hAnsi="Palatino Linotype" w:cs="Arial"/>
          <w:lang w:val="es-MX"/>
        </w:rPr>
      </w:pPr>
    </w:p>
    <w:p w:rsidR="006C7E90" w:rsidRPr="00C06373" w:rsidRDefault="006C7E90" w:rsidP="006C7E90">
      <w:pPr>
        <w:pStyle w:val="Prrafodelista"/>
        <w:numPr>
          <w:ilvl w:val="0"/>
          <w:numId w:val="1"/>
        </w:numPr>
        <w:tabs>
          <w:tab w:val="left" w:pos="8080"/>
        </w:tabs>
        <w:spacing w:before="100" w:beforeAutospacing="1" w:after="100" w:afterAutospacing="1" w:line="360" w:lineRule="auto"/>
        <w:ind w:right="49"/>
        <w:jc w:val="both"/>
        <w:rPr>
          <w:rFonts w:ascii="Palatino Linotype" w:hAnsi="Palatino Linotype" w:cs="Arial"/>
          <w:lang w:val="es-MX"/>
        </w:rPr>
      </w:pPr>
      <w:r w:rsidRPr="00C06373">
        <w:rPr>
          <w:rFonts w:ascii="Palatino Linotype" w:hAnsi="Palatino Linotype" w:cs="Arial"/>
          <w:lang w:val="es-MX"/>
        </w:rPr>
        <w:t>Derivado de lo transcrito con anterioridad, considero que la incorporación de dicho argumento en la resolución en comento resulta a todas luces innecesario y además no da lugar a invocarlos en el derecho humano fundamental de acceder a la información pública gubernamental.</w:t>
      </w:r>
      <w:r w:rsidRPr="00C06373">
        <w:rPr>
          <w:rFonts w:ascii="Palatino Linotype" w:eastAsia="Calibri" w:hAnsi="Palatino Linotype"/>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C06373">
        <w:rPr>
          <w:rFonts w:ascii="Palatino Linotype" w:eastAsia="Calibri" w:hAnsi="Palatino Linotype"/>
          <w:b/>
        </w:rPr>
        <w:t>SUJETO OBLIGADO</w:t>
      </w:r>
      <w:r w:rsidRPr="00C06373">
        <w:rPr>
          <w:rFonts w:ascii="Palatino Linotype" w:eastAsia="Calibri" w:hAnsi="Palatino Linotype"/>
        </w:rPr>
        <w:t xml:space="preserve"> ha dado respuesta a la solicitud de información en lo particular, tan es así que al analizar la respuesta emitida se concluyó que colmó con el derecho de acceso a la información, lo que en mi parecer considero, es innecesario señalar la figura de actos consentidos, éste instituto como órgano garante, es su deber velar por el cabal cumplimiento al derecho humano del acceso a la información, mas no limitarlo invocando el multicitado argumento de actos consentidos.</w:t>
      </w:r>
    </w:p>
    <w:p w:rsidR="006C7E90" w:rsidRPr="00C06373" w:rsidRDefault="006C7E90" w:rsidP="006C7E90">
      <w:pPr>
        <w:spacing w:before="240" w:after="240" w:line="360" w:lineRule="auto"/>
        <w:ind w:left="360" w:right="49"/>
        <w:contextualSpacing/>
        <w:jc w:val="both"/>
        <w:rPr>
          <w:rFonts w:ascii="Palatino Linotype" w:hAnsi="Palatino Linotype" w:cs="Arial"/>
          <w:sz w:val="24"/>
          <w:szCs w:val="24"/>
          <w:lang w:val="es-MX"/>
        </w:rPr>
      </w:pPr>
    </w:p>
    <w:p w:rsidR="006C7E90" w:rsidRPr="00C06373" w:rsidRDefault="006C7E90" w:rsidP="006C7E90">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3" w:name="_Toc523146007"/>
      <w:r w:rsidRPr="00C06373">
        <w:rPr>
          <w:rFonts w:ascii="Palatino Linotype" w:eastAsiaTheme="majorEastAsia" w:hAnsi="Palatino Linotype" w:cstheme="majorBidi"/>
          <w:b/>
          <w:sz w:val="24"/>
          <w:szCs w:val="24"/>
          <w:lang w:val="es-MX"/>
        </w:rPr>
        <w:t>Los actos consentidos no deben invocarse en el derecho fundamental de acceder a la información pública gubernamental.</w:t>
      </w:r>
      <w:bookmarkEnd w:id="3"/>
    </w:p>
    <w:p w:rsidR="006C7E90" w:rsidRPr="00C06373" w:rsidRDefault="006C7E90" w:rsidP="006C7E90">
      <w:pPr>
        <w:spacing w:after="0" w:line="360" w:lineRule="auto"/>
        <w:ind w:left="1080"/>
        <w:contextualSpacing/>
        <w:jc w:val="both"/>
        <w:rPr>
          <w:rFonts w:ascii="Palatino Linotype" w:hAnsi="Palatino Linotype" w:cs="Arial"/>
          <w:b/>
          <w:sz w:val="24"/>
          <w:szCs w:val="24"/>
          <w:lang w:val="es-MX"/>
        </w:rPr>
      </w:pPr>
    </w:p>
    <w:p w:rsidR="006C7E90" w:rsidRPr="00C06373" w:rsidRDefault="006C7E90" w:rsidP="006C7E90">
      <w:pPr>
        <w:numPr>
          <w:ilvl w:val="0"/>
          <w:numId w:val="1"/>
        </w:numPr>
        <w:spacing w:after="0" w:line="360" w:lineRule="auto"/>
        <w:ind w:left="426"/>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 xml:space="preserve">En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C06373">
        <w:rPr>
          <w:rFonts w:ascii="Palatino Linotype" w:hAnsi="Palatino Linotype" w:cs="Arial"/>
          <w:b/>
          <w:sz w:val="24"/>
          <w:szCs w:val="24"/>
          <w:lang w:val="es-MX"/>
        </w:rPr>
        <w:t>acudir a un profesionista del derecho</w:t>
      </w:r>
      <w:r w:rsidRPr="00C06373">
        <w:rPr>
          <w:rFonts w:ascii="Palatino Linotype" w:hAnsi="Palatino Linotype" w:cs="Arial"/>
          <w:sz w:val="24"/>
          <w:szCs w:val="24"/>
          <w:lang w:val="es-MX"/>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6C7E90" w:rsidRPr="00C06373" w:rsidRDefault="006C7E90" w:rsidP="006C7E90">
      <w:pPr>
        <w:spacing w:after="0" w:line="360" w:lineRule="auto"/>
        <w:ind w:left="426"/>
        <w:contextualSpacing/>
        <w:jc w:val="both"/>
        <w:rPr>
          <w:rFonts w:ascii="Palatino Linotype" w:hAnsi="Palatino Linotype" w:cs="Arial"/>
          <w:sz w:val="24"/>
          <w:szCs w:val="24"/>
          <w:lang w:val="es-MX"/>
        </w:rPr>
      </w:pPr>
    </w:p>
    <w:p w:rsidR="006C7E90" w:rsidRPr="00C06373" w:rsidRDefault="006C7E90" w:rsidP="006C7E90">
      <w:pPr>
        <w:numPr>
          <w:ilvl w:val="0"/>
          <w:numId w:val="1"/>
        </w:numPr>
        <w:spacing w:after="0" w:line="360" w:lineRule="auto"/>
        <w:ind w:left="426" w:hanging="426"/>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lastRenderedPageBreak/>
        <w:t xml:space="preserve">La figura de la suplencia de la queja, para Héctor </w:t>
      </w:r>
      <w:proofErr w:type="spellStart"/>
      <w:r w:rsidRPr="00C06373">
        <w:rPr>
          <w:rFonts w:ascii="Palatino Linotype" w:hAnsi="Palatino Linotype" w:cs="Arial"/>
          <w:sz w:val="24"/>
          <w:szCs w:val="24"/>
          <w:lang w:val="es-MX"/>
        </w:rPr>
        <w:t>Fix</w:t>
      </w:r>
      <w:proofErr w:type="spellEnd"/>
      <w:r w:rsidRPr="00C06373">
        <w:rPr>
          <w:rFonts w:ascii="Palatino Linotype" w:hAnsi="Palatino Linotype" w:cs="Arial"/>
          <w:sz w:val="24"/>
          <w:szCs w:val="24"/>
          <w:lang w:val="es-MX"/>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C06373">
        <w:rPr>
          <w:rFonts w:ascii="Palatino Linotype" w:hAnsi="Palatino Linotype" w:cs="Arial"/>
          <w:vertAlign w:val="superscript"/>
          <w:lang w:val="es-MX"/>
        </w:rPr>
        <w:footnoteReference w:id="1"/>
      </w:r>
      <w:r w:rsidRPr="00C06373">
        <w:rPr>
          <w:rFonts w:ascii="Palatino Linotype" w:hAnsi="Palatino Linotype" w:cs="Arial"/>
          <w:sz w:val="24"/>
          <w:szCs w:val="24"/>
          <w:lang w:val="es-MX"/>
        </w:rPr>
        <w:t xml:space="preserve"> Según este mismo autor, “…es siempre obligatoria… respecto de los errores o defectos de los conceptos de violación expresados en la demanda, así como los de los agravios formulados en los recursos que el mismo ordenamiento establece”.</w:t>
      </w:r>
      <w:r w:rsidRPr="00C06373">
        <w:rPr>
          <w:rFonts w:ascii="Palatino Linotype" w:hAnsi="Palatino Linotype" w:cs="Arial"/>
          <w:vertAlign w:val="superscript"/>
          <w:lang w:val="es-MX"/>
        </w:rPr>
        <w:footnoteReference w:id="2"/>
      </w:r>
      <w:r w:rsidRPr="00C06373">
        <w:rPr>
          <w:rFonts w:ascii="Palatino Linotype" w:hAnsi="Palatino Linotype" w:cs="Arial"/>
          <w:sz w:val="24"/>
          <w:szCs w:val="24"/>
          <w:lang w:val="es-MX"/>
        </w:rPr>
        <w:t xml:space="preserve"> </w:t>
      </w:r>
    </w:p>
    <w:p w:rsidR="006C7E90" w:rsidRPr="00C06373" w:rsidRDefault="006C7E90" w:rsidP="006C7E90">
      <w:pPr>
        <w:spacing w:line="360" w:lineRule="auto"/>
        <w:ind w:left="720"/>
        <w:contextualSpacing/>
        <w:jc w:val="both"/>
        <w:rPr>
          <w:rFonts w:ascii="Palatino Linotype" w:hAnsi="Palatino Linotype" w:cs="Arial"/>
          <w:sz w:val="24"/>
          <w:szCs w:val="24"/>
          <w:lang w:val="es-MX"/>
        </w:rPr>
      </w:pPr>
    </w:p>
    <w:p w:rsidR="006C7E90" w:rsidRPr="00C06373" w:rsidRDefault="006C7E90" w:rsidP="006C7E90">
      <w:pPr>
        <w:numPr>
          <w:ilvl w:val="0"/>
          <w:numId w:val="1"/>
        </w:numPr>
        <w:spacing w:after="0" w:line="360" w:lineRule="auto"/>
        <w:ind w:left="426"/>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6C7E90" w:rsidRPr="00C06373" w:rsidRDefault="006C7E90" w:rsidP="006C7E90">
      <w:pPr>
        <w:spacing w:after="0" w:line="360" w:lineRule="auto"/>
        <w:jc w:val="both"/>
        <w:rPr>
          <w:rFonts w:ascii="Palatino Linotype" w:hAnsi="Palatino Linotype" w:cs="Arial"/>
          <w:sz w:val="24"/>
          <w:szCs w:val="24"/>
          <w:lang w:val="es-MX"/>
        </w:rPr>
      </w:pPr>
    </w:p>
    <w:p w:rsidR="006C7E90" w:rsidRPr="00C06373" w:rsidRDefault="006C7E90" w:rsidP="006C7E90">
      <w:pPr>
        <w:numPr>
          <w:ilvl w:val="0"/>
          <w:numId w:val="1"/>
        </w:numPr>
        <w:spacing w:after="0" w:line="360" w:lineRule="auto"/>
        <w:ind w:left="426" w:hanging="426"/>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 xml:space="preserve"> No satisfecho con lo anterior, es necesario señalar que en materia del derecho de acceso a la información pública, tiene una justificación clara y precisa que se deriva de un aspecto de singular importancia, ya que lo que tratamos y </w:t>
      </w:r>
      <w:r w:rsidRPr="00C06373">
        <w:rPr>
          <w:rFonts w:ascii="Palatino Linotype" w:hAnsi="Palatino Linotype" w:cs="Arial"/>
          <w:sz w:val="24"/>
          <w:szCs w:val="24"/>
          <w:lang w:val="es-MX"/>
        </w:rPr>
        <w:lastRenderedPageBreak/>
        <w:t xml:space="preserve">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C06373">
        <w:rPr>
          <w:rFonts w:ascii="Palatino Linotype" w:hAnsi="Palatino Linotype" w:cs="Arial"/>
          <w:b/>
          <w:sz w:val="24"/>
          <w:szCs w:val="24"/>
          <w:lang w:val="es-MX"/>
        </w:rPr>
        <w:t>garantía de los derechos humanos</w:t>
      </w:r>
      <w:r w:rsidRPr="00C06373">
        <w:rPr>
          <w:rFonts w:ascii="Palatino Linotype" w:hAnsi="Palatino Linotype" w:cs="Arial"/>
          <w:sz w:val="24"/>
          <w:szCs w:val="24"/>
          <w:lang w:val="es-MX"/>
        </w:rPr>
        <w:t>, de tal forma que cualquier esfuerzo que se haga en el sentido de cumplir con dicho mandato no resulta ocioso ni sobra sino demuestra el grado de compromiso de la autoridad con este aspecto toral de la reforma constitucional del 10 de junio de 2011.</w:t>
      </w:r>
    </w:p>
    <w:p w:rsidR="006C7E90" w:rsidRPr="00C06373" w:rsidRDefault="006C7E90" w:rsidP="006C7E90">
      <w:pPr>
        <w:spacing w:after="0" w:line="360" w:lineRule="auto"/>
        <w:jc w:val="both"/>
        <w:rPr>
          <w:rFonts w:ascii="Palatino Linotype" w:hAnsi="Palatino Linotype" w:cs="Arial"/>
          <w:sz w:val="24"/>
          <w:szCs w:val="24"/>
          <w:lang w:val="es-MX"/>
        </w:rPr>
      </w:pPr>
    </w:p>
    <w:p w:rsidR="006C7E90" w:rsidRPr="00C06373" w:rsidRDefault="006C7E90" w:rsidP="006C7E90">
      <w:pPr>
        <w:numPr>
          <w:ilvl w:val="0"/>
          <w:numId w:val="1"/>
        </w:numPr>
        <w:spacing w:after="0" w:line="360" w:lineRule="auto"/>
        <w:ind w:left="426"/>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En este sentido el Dr. Miguel Carbonell ha señalado que:</w:t>
      </w:r>
    </w:p>
    <w:p w:rsidR="006C7E90" w:rsidRPr="00C06373" w:rsidRDefault="006C7E90" w:rsidP="006C7E90">
      <w:pPr>
        <w:spacing w:after="0" w:line="360" w:lineRule="auto"/>
        <w:ind w:left="426"/>
        <w:contextualSpacing/>
        <w:jc w:val="both"/>
        <w:rPr>
          <w:rFonts w:ascii="Palatino Linotype" w:hAnsi="Palatino Linotype" w:cs="Arial"/>
          <w:sz w:val="24"/>
          <w:szCs w:val="24"/>
          <w:lang w:val="es-MX"/>
        </w:rPr>
      </w:pPr>
    </w:p>
    <w:p w:rsidR="006C7E90" w:rsidRPr="00C06373" w:rsidRDefault="006C7E90" w:rsidP="006C7E90">
      <w:pPr>
        <w:spacing w:after="0" w:line="360" w:lineRule="auto"/>
        <w:ind w:left="426" w:right="616"/>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 xml:space="preserve">“Queda claro, en consecuencia, que las obligaciones de promoción, respeto, protección y garantía de los derechos corren a cargo de todos los poderes, incluso </w:t>
      </w:r>
      <w:r w:rsidRPr="00C06373">
        <w:rPr>
          <w:rFonts w:ascii="Palatino Linotype" w:hAnsi="Palatino Linotype" w:cs="Arial"/>
          <w:b/>
          <w:sz w:val="24"/>
          <w:szCs w:val="24"/>
          <w:lang w:val="es-MX"/>
        </w:rPr>
        <w:t>considerando que algún nivel de gobierno tenga obligaciones reforzadas hacia ciertos derechos.</w:t>
      </w:r>
      <w:r w:rsidRPr="00C06373">
        <w:rPr>
          <w:rFonts w:ascii="Palatino Linotype" w:hAnsi="Palatino Linotype" w:cs="Arial"/>
          <w:sz w:val="24"/>
          <w:szCs w:val="24"/>
          <w:lang w:val="es-MX"/>
        </w:rPr>
        <w:t xml:space="preserve"> A partir de tales deberes generales, podemos afirmar que las autoridades de todos los niveles de gobierno también tienen la obligación positiva de </w:t>
      </w:r>
      <w:r w:rsidRPr="00C06373">
        <w:rPr>
          <w:rFonts w:ascii="Palatino Linotype" w:hAnsi="Palatino Linotype" w:cs="Arial"/>
          <w:b/>
          <w:sz w:val="24"/>
          <w:szCs w:val="24"/>
          <w:lang w:val="es-MX"/>
        </w:rPr>
        <w:t>tomar todas las medidas que sean pertinentes para tutelar y hacer eficaz un derecho</w:t>
      </w:r>
      <w:r w:rsidRPr="00C06373">
        <w:rPr>
          <w:rFonts w:ascii="Palatino Linotype" w:hAnsi="Palatino Linotype" w:cs="Arial"/>
          <w:sz w:val="24"/>
          <w:szCs w:val="24"/>
          <w:lang w:val="es-MX"/>
        </w:rPr>
        <w:t>”.</w:t>
      </w:r>
      <w:r w:rsidRPr="00C06373">
        <w:rPr>
          <w:rFonts w:ascii="Palatino Linotype" w:hAnsi="Palatino Linotype" w:cs="Arial"/>
          <w:vertAlign w:val="superscript"/>
          <w:lang w:val="es-MX"/>
        </w:rPr>
        <w:footnoteReference w:id="3"/>
      </w:r>
    </w:p>
    <w:p w:rsidR="006C7E90" w:rsidRPr="00C06373" w:rsidRDefault="006C7E90" w:rsidP="006C7E90">
      <w:pPr>
        <w:spacing w:after="0" w:line="360" w:lineRule="auto"/>
        <w:ind w:left="426"/>
        <w:contextualSpacing/>
        <w:jc w:val="both"/>
        <w:rPr>
          <w:rFonts w:ascii="Palatino Linotype" w:hAnsi="Palatino Linotype" w:cs="Arial"/>
          <w:sz w:val="24"/>
          <w:szCs w:val="24"/>
          <w:lang w:val="es-MX"/>
        </w:rPr>
      </w:pPr>
    </w:p>
    <w:p w:rsidR="006C7E90" w:rsidRPr="00C06373" w:rsidRDefault="006C7E90" w:rsidP="006C7E90">
      <w:pPr>
        <w:numPr>
          <w:ilvl w:val="0"/>
          <w:numId w:val="1"/>
        </w:numPr>
        <w:spacing w:after="0" w:line="360" w:lineRule="auto"/>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lastRenderedPageBreak/>
        <w:t xml:space="preserve"> Por lo que restringir el derecho de acceso a la información pública del particular</w:t>
      </w:r>
      <w:r w:rsidRPr="00C06373">
        <w:rPr>
          <w:rFonts w:ascii="Palatino Linotype" w:hAnsi="Palatino Linotype" w:cs="Arial"/>
          <w:b/>
          <w:sz w:val="24"/>
          <w:szCs w:val="24"/>
          <w:lang w:val="es-MX"/>
        </w:rPr>
        <w:t xml:space="preserve"> </w:t>
      </w:r>
      <w:r w:rsidRPr="00C06373">
        <w:rPr>
          <w:rFonts w:ascii="Palatino Linotype" w:hAnsi="Palatino Linotype" w:cs="Arial"/>
          <w:sz w:val="24"/>
          <w:szCs w:val="24"/>
          <w:lang w:val="es-MX"/>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6C7E90" w:rsidRPr="00C06373" w:rsidRDefault="006C7E90" w:rsidP="006C7E90">
      <w:pPr>
        <w:spacing w:after="0" w:line="360" w:lineRule="auto"/>
        <w:ind w:left="720"/>
        <w:contextualSpacing/>
        <w:jc w:val="both"/>
        <w:rPr>
          <w:rFonts w:ascii="Palatino Linotype" w:hAnsi="Palatino Linotype" w:cs="Arial"/>
          <w:sz w:val="24"/>
          <w:szCs w:val="24"/>
          <w:lang w:val="es-MX"/>
        </w:rPr>
      </w:pPr>
    </w:p>
    <w:p w:rsidR="006C7E90" w:rsidRPr="00C06373" w:rsidRDefault="006C7E90" w:rsidP="006C7E90">
      <w:pPr>
        <w:numPr>
          <w:ilvl w:val="0"/>
          <w:numId w:val="1"/>
        </w:numPr>
        <w:spacing w:after="0" w:line="360" w:lineRule="auto"/>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6C7E90" w:rsidRPr="00C06373" w:rsidRDefault="006C7E90" w:rsidP="006C7E90">
      <w:pPr>
        <w:spacing w:line="360" w:lineRule="auto"/>
        <w:ind w:left="720"/>
        <w:contextualSpacing/>
        <w:jc w:val="both"/>
        <w:rPr>
          <w:rFonts w:ascii="Palatino Linotype" w:hAnsi="Palatino Linotype" w:cs="Arial"/>
          <w:sz w:val="24"/>
          <w:szCs w:val="24"/>
          <w:lang w:val="es-MX"/>
        </w:rPr>
      </w:pPr>
    </w:p>
    <w:p w:rsidR="006C7E90" w:rsidRPr="00C06373" w:rsidRDefault="006C7E90" w:rsidP="006C7E90">
      <w:pPr>
        <w:numPr>
          <w:ilvl w:val="0"/>
          <w:numId w:val="1"/>
        </w:numPr>
        <w:spacing w:after="0" w:line="360" w:lineRule="auto"/>
        <w:ind w:left="426"/>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lastRenderedPageBreak/>
        <w:t xml:space="preserve">Frente a esa realidad pasada, la reforma citada nos ubica completamente en nuevas condiciones bajo los criterios del Estado Constitucional de Derecho que nos debe conducir a valorar, junto con Sergio </w:t>
      </w:r>
      <w:proofErr w:type="spellStart"/>
      <w:r w:rsidRPr="00C06373">
        <w:rPr>
          <w:rFonts w:ascii="Palatino Linotype" w:hAnsi="Palatino Linotype" w:cs="Arial"/>
          <w:sz w:val="24"/>
          <w:szCs w:val="24"/>
          <w:lang w:val="es-MX"/>
        </w:rPr>
        <w:t>Cotta</w:t>
      </w:r>
      <w:proofErr w:type="spellEnd"/>
      <w:r w:rsidRPr="00C06373">
        <w:rPr>
          <w:rFonts w:ascii="Palatino Linotype" w:hAnsi="Palatino Linotype" w:cs="Arial"/>
          <w:sz w:val="24"/>
          <w:szCs w:val="24"/>
          <w:lang w:val="es-MX"/>
        </w:rPr>
        <w:t xml:space="preserve"> que “la obligatoriedad de la norma depende de la validez de su justificación, que es, por consiguiente el fundamento de aquella”,</w:t>
      </w:r>
      <w:r w:rsidRPr="00C06373">
        <w:rPr>
          <w:rFonts w:ascii="Palatino Linotype" w:hAnsi="Palatino Linotype" w:cs="Arial"/>
          <w:vertAlign w:val="superscript"/>
          <w:lang w:val="es-MX"/>
        </w:rPr>
        <w:footnoteReference w:id="4"/>
      </w:r>
      <w:r w:rsidRPr="00C06373">
        <w:rPr>
          <w:rFonts w:ascii="Palatino Linotype" w:hAnsi="Palatino Linotype" w:cs="Arial"/>
          <w:sz w:val="24"/>
          <w:szCs w:val="24"/>
          <w:lang w:val="es-MX"/>
        </w:rPr>
        <w:t xml:space="preserve"> y no puede existir validez en la aplicación de un criterio que propicia una riesgosa afectación al derecho de acceso a la información.</w:t>
      </w:r>
    </w:p>
    <w:p w:rsidR="006C7E90" w:rsidRPr="00C06373" w:rsidRDefault="006C7E90" w:rsidP="006C7E90">
      <w:pPr>
        <w:spacing w:line="360" w:lineRule="auto"/>
        <w:ind w:left="720"/>
        <w:contextualSpacing/>
        <w:jc w:val="both"/>
        <w:rPr>
          <w:rFonts w:ascii="Palatino Linotype" w:hAnsi="Palatino Linotype" w:cs="Arial"/>
          <w:sz w:val="24"/>
          <w:szCs w:val="24"/>
          <w:lang w:val="es-MX"/>
        </w:rPr>
      </w:pPr>
    </w:p>
    <w:p w:rsidR="006C7E90" w:rsidRPr="00C06373" w:rsidRDefault="006C7E90" w:rsidP="006C7E90">
      <w:pPr>
        <w:numPr>
          <w:ilvl w:val="0"/>
          <w:numId w:val="1"/>
        </w:numPr>
        <w:spacing w:after="0" w:line="360" w:lineRule="auto"/>
        <w:ind w:left="426"/>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C06373">
        <w:rPr>
          <w:rFonts w:ascii="Palatino Linotype" w:hAnsi="Palatino Linotype" w:cs="Arial"/>
          <w:b/>
          <w:sz w:val="24"/>
          <w:szCs w:val="24"/>
          <w:lang w:val="es-MX"/>
        </w:rPr>
        <w:t>el deber que tienen los órganos del Estado, dentro del margen de sus atribuciones, de prevenir violaciones a los derechos fundamentales,</w:t>
      </w:r>
      <w:r w:rsidRPr="00C06373">
        <w:rPr>
          <w:rFonts w:ascii="Palatino Linotype" w:hAnsi="Palatino Linotype" w:cs="Arial"/>
          <w:sz w:val="24"/>
          <w:szCs w:val="24"/>
          <w:lang w:val="es-MX"/>
        </w:rPr>
        <w:t xml:space="preserve"> ya sea que </w:t>
      </w:r>
      <w:r w:rsidRPr="00C06373">
        <w:rPr>
          <w:rFonts w:ascii="Palatino Linotype" w:hAnsi="Palatino Linotype" w:cs="Arial"/>
          <w:sz w:val="24"/>
          <w:szCs w:val="24"/>
          <w:lang w:val="es-MX"/>
        </w:rPr>
        <w:lastRenderedPageBreak/>
        <w:t xml:space="preserve">provengan de una autoridad o de algún particular y, por ello, </w:t>
      </w:r>
      <w:r w:rsidRPr="00C06373">
        <w:rPr>
          <w:rFonts w:ascii="Palatino Linotype" w:hAnsi="Palatino Linotype" w:cs="Arial"/>
          <w:b/>
          <w:sz w:val="24"/>
          <w:szCs w:val="24"/>
          <w:lang w:val="es-MX"/>
        </w:rPr>
        <w:t>debe contarse</w:t>
      </w:r>
      <w:r w:rsidRPr="00C06373">
        <w:rPr>
          <w:rFonts w:ascii="Palatino Linotype" w:hAnsi="Palatino Linotype" w:cs="Arial"/>
          <w:sz w:val="24"/>
          <w:szCs w:val="24"/>
          <w:lang w:val="es-MX"/>
        </w:rPr>
        <w:t xml:space="preserve"> tanto </w:t>
      </w:r>
      <w:r w:rsidRPr="00C06373">
        <w:rPr>
          <w:rFonts w:ascii="Palatino Linotype" w:hAnsi="Palatino Linotype" w:cs="Arial"/>
          <w:b/>
          <w:sz w:val="24"/>
          <w:szCs w:val="24"/>
          <w:lang w:val="es-MX"/>
        </w:rPr>
        <w:t>con mecanismos</w:t>
      </w:r>
      <w:r w:rsidRPr="00C06373">
        <w:rPr>
          <w:rFonts w:ascii="Palatino Linotype" w:hAnsi="Palatino Linotype" w:cs="Arial"/>
          <w:sz w:val="24"/>
          <w:szCs w:val="24"/>
          <w:lang w:val="es-MX"/>
        </w:rPr>
        <w:t xml:space="preserve"> de vigilancia como </w:t>
      </w:r>
      <w:r w:rsidRPr="00C06373">
        <w:rPr>
          <w:rFonts w:ascii="Palatino Linotype" w:hAnsi="Palatino Linotype" w:cs="Arial"/>
          <w:b/>
          <w:sz w:val="24"/>
          <w:szCs w:val="24"/>
          <w:lang w:val="es-MX"/>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C06373">
        <w:rPr>
          <w:rFonts w:ascii="Palatino Linotype" w:hAnsi="Palatino Linotype" w:cs="Arial"/>
          <w:sz w:val="24"/>
          <w:szCs w:val="24"/>
          <w:lang w:val="es-MX"/>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w:t>
      </w:r>
      <w:proofErr w:type="gramStart"/>
      <w:r w:rsidRPr="00C06373">
        <w:rPr>
          <w:rFonts w:ascii="Palatino Linotype" w:hAnsi="Palatino Linotype" w:cs="Arial"/>
          <w:sz w:val="24"/>
          <w:szCs w:val="24"/>
          <w:lang w:val="es-MX"/>
        </w:rPr>
        <w:t>Octubre</w:t>
      </w:r>
      <w:proofErr w:type="gramEnd"/>
      <w:r w:rsidRPr="00C06373">
        <w:rPr>
          <w:rFonts w:ascii="Palatino Linotype" w:hAnsi="Palatino Linotype" w:cs="Arial"/>
          <w:sz w:val="24"/>
          <w:szCs w:val="24"/>
          <w:lang w:val="es-MX"/>
        </w:rPr>
        <w:t xml:space="preserve"> de 2014, Tomo III, Página: 2840.</w:t>
      </w:r>
    </w:p>
    <w:p w:rsidR="006C7E90" w:rsidRPr="00C06373" w:rsidRDefault="006C7E90" w:rsidP="006C7E90">
      <w:pPr>
        <w:spacing w:after="0" w:line="360" w:lineRule="auto"/>
        <w:ind w:left="426"/>
        <w:contextualSpacing/>
        <w:jc w:val="both"/>
        <w:rPr>
          <w:rFonts w:ascii="Palatino Linotype" w:hAnsi="Palatino Linotype" w:cs="Arial"/>
          <w:szCs w:val="24"/>
          <w:lang w:val="es-MX"/>
        </w:rPr>
      </w:pPr>
    </w:p>
    <w:p w:rsidR="006C7E90" w:rsidRPr="00C06373" w:rsidRDefault="006C7E90" w:rsidP="006C7E90">
      <w:pPr>
        <w:numPr>
          <w:ilvl w:val="0"/>
          <w:numId w:val="1"/>
        </w:numPr>
        <w:spacing w:after="0" w:line="360" w:lineRule="auto"/>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C06373">
        <w:rPr>
          <w:rFonts w:ascii="Palatino Linotype" w:hAnsi="Palatino Linotype" w:cs="Arial"/>
          <w:b/>
          <w:sz w:val="24"/>
          <w:szCs w:val="24"/>
          <w:lang w:val="es-MX"/>
        </w:rPr>
        <w:t>SUJETOS OBLIGADOS</w:t>
      </w:r>
      <w:r w:rsidRPr="00C06373">
        <w:rPr>
          <w:rFonts w:ascii="Palatino Linotype" w:hAnsi="Palatino Linotype" w:cs="Arial"/>
          <w:sz w:val="24"/>
          <w:szCs w:val="24"/>
          <w:lang w:val="es-MX"/>
        </w:rPr>
        <w:t xml:space="preserve"> sea evidente la falta de alguno de ellos, en ese tenor los particulares se ven impedidos, en los hechos, a acceder a una </w:t>
      </w:r>
      <w:r w:rsidRPr="00C06373">
        <w:rPr>
          <w:rFonts w:ascii="Palatino Linotype" w:hAnsi="Palatino Linotype" w:cs="Arial"/>
          <w:sz w:val="24"/>
          <w:szCs w:val="24"/>
          <w:lang w:val="es-MX"/>
        </w:rPr>
        <w:lastRenderedPageBreak/>
        <w:t>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6C7E90" w:rsidRPr="00C06373" w:rsidRDefault="006C7E90" w:rsidP="006C7E90">
      <w:pPr>
        <w:pStyle w:val="Prrafodelista"/>
        <w:rPr>
          <w:rFonts w:ascii="Palatino Linotype" w:hAnsi="Palatino Linotype" w:cs="Arial"/>
          <w:lang w:val="es-MX"/>
        </w:rPr>
      </w:pPr>
    </w:p>
    <w:p w:rsidR="006C7E90" w:rsidRPr="00C06373" w:rsidRDefault="006C7E90" w:rsidP="006C7E90">
      <w:pPr>
        <w:numPr>
          <w:ilvl w:val="0"/>
          <w:numId w:val="1"/>
        </w:numPr>
        <w:spacing w:after="0" w:line="360" w:lineRule="auto"/>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C06373">
        <w:rPr>
          <w:rFonts w:ascii="Palatino Linotype" w:hAnsi="Palatino Linotype" w:cs="Arial"/>
          <w:sz w:val="24"/>
          <w:szCs w:val="24"/>
          <w:lang w:val="es-MX"/>
        </w:rPr>
        <w:t>procedibilidad</w:t>
      </w:r>
      <w:proofErr w:type="spellEnd"/>
      <w:r w:rsidRPr="00C06373">
        <w:rPr>
          <w:rFonts w:ascii="Palatino Linotype" w:hAnsi="Palatino Linotype" w:cs="Arial"/>
          <w:sz w:val="24"/>
          <w:szCs w:val="24"/>
          <w:lang w:val="es-MX"/>
        </w:rPr>
        <w:t>, ya que en todo momento nos encontramos ante un derecho más alto que, puede considerarse en los siguientes términos:</w:t>
      </w:r>
    </w:p>
    <w:p w:rsidR="006C7E90" w:rsidRPr="00C06373" w:rsidRDefault="006C7E90" w:rsidP="006C7E90">
      <w:pPr>
        <w:spacing w:after="0" w:line="360" w:lineRule="auto"/>
        <w:ind w:left="284"/>
        <w:contextualSpacing/>
        <w:jc w:val="both"/>
        <w:rPr>
          <w:rFonts w:ascii="Palatino Linotype" w:hAnsi="Palatino Linotype" w:cs="Arial"/>
          <w:sz w:val="24"/>
          <w:szCs w:val="24"/>
          <w:lang w:val="es-MX"/>
        </w:rPr>
      </w:pPr>
    </w:p>
    <w:p w:rsidR="006C7E90" w:rsidRPr="00C06373" w:rsidRDefault="006C7E90" w:rsidP="006C7E90">
      <w:pPr>
        <w:spacing w:after="0" w:line="360" w:lineRule="auto"/>
        <w:ind w:left="567" w:right="618"/>
        <w:jc w:val="both"/>
        <w:rPr>
          <w:rFonts w:ascii="Palatino Linotype" w:hAnsi="Palatino Linotype" w:cs="Arial"/>
          <w:i/>
          <w:lang w:val="es-MX"/>
        </w:rPr>
      </w:pPr>
      <w:r w:rsidRPr="00C06373">
        <w:rPr>
          <w:rFonts w:ascii="Palatino Linotype" w:hAnsi="Palatino Linotype" w:cs="Arial"/>
          <w:i/>
          <w:lang w:val="es-MX"/>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C06373">
        <w:rPr>
          <w:rFonts w:ascii="Palatino Linotype" w:hAnsi="Palatino Linotype" w:cs="Arial"/>
          <w:i/>
          <w:lang w:val="es-MX"/>
        </w:rPr>
        <w:t>ocasionalidad</w:t>
      </w:r>
      <w:proofErr w:type="spellEnd"/>
      <w:r w:rsidRPr="00C06373">
        <w:rPr>
          <w:rFonts w:ascii="Palatino Linotype" w:hAnsi="Palatino Linotype" w:cs="Arial"/>
          <w:i/>
          <w:lang w:val="es-MX"/>
        </w:rPr>
        <w:t xml:space="preserve"> de las presiones sociales que se ejercen sobre el mismo”.</w:t>
      </w:r>
      <w:r w:rsidRPr="00C06373">
        <w:rPr>
          <w:rFonts w:ascii="Palatino Linotype" w:hAnsi="Palatino Linotype" w:cs="Arial"/>
          <w:i/>
          <w:vertAlign w:val="superscript"/>
          <w:lang w:val="es-MX"/>
        </w:rPr>
        <w:footnoteReference w:id="5"/>
      </w:r>
    </w:p>
    <w:p w:rsidR="006C7E90" w:rsidRPr="00C06373" w:rsidRDefault="006C7E90" w:rsidP="006C7E90">
      <w:pPr>
        <w:spacing w:after="0" w:line="360" w:lineRule="auto"/>
        <w:ind w:left="1134" w:right="618"/>
        <w:jc w:val="both"/>
        <w:rPr>
          <w:rFonts w:ascii="Palatino Linotype" w:hAnsi="Palatino Linotype" w:cs="Arial"/>
          <w:i/>
          <w:lang w:val="es-MX"/>
        </w:rPr>
      </w:pPr>
    </w:p>
    <w:p w:rsidR="006C7E90" w:rsidRPr="00C06373" w:rsidRDefault="006C7E90" w:rsidP="006C7E90">
      <w:pPr>
        <w:numPr>
          <w:ilvl w:val="0"/>
          <w:numId w:val="1"/>
        </w:numPr>
        <w:spacing w:after="0" w:line="360" w:lineRule="auto"/>
        <w:ind w:left="426" w:hanging="426"/>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lastRenderedPageBreak/>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6C7E90" w:rsidRPr="00C06373" w:rsidRDefault="006C7E90" w:rsidP="006C7E90">
      <w:pPr>
        <w:spacing w:after="0" w:line="360" w:lineRule="auto"/>
        <w:ind w:left="426"/>
        <w:contextualSpacing/>
        <w:jc w:val="both"/>
        <w:rPr>
          <w:rFonts w:ascii="Palatino Linotype" w:hAnsi="Palatino Linotype" w:cs="Arial"/>
          <w:sz w:val="24"/>
          <w:szCs w:val="24"/>
          <w:lang w:val="es-MX"/>
        </w:rPr>
      </w:pPr>
    </w:p>
    <w:p w:rsidR="006C7E90" w:rsidRPr="00C06373" w:rsidRDefault="006C7E90" w:rsidP="006C7E90">
      <w:pPr>
        <w:numPr>
          <w:ilvl w:val="0"/>
          <w:numId w:val="1"/>
        </w:numPr>
        <w:spacing w:line="360" w:lineRule="auto"/>
        <w:ind w:left="426" w:hanging="426"/>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w:t>
      </w:r>
      <w:r w:rsidRPr="00C06373">
        <w:rPr>
          <w:rFonts w:ascii="Palatino Linotype" w:hAnsi="Palatino Linotype" w:cs="Arial"/>
          <w:sz w:val="24"/>
          <w:szCs w:val="24"/>
          <w:lang w:val="es-MX"/>
        </w:rPr>
        <w:lastRenderedPageBreak/>
        <w:t>cuando no se pronuncien al respecto, cuando sea evidente que no han sido colmados, en ese sentido no estaríamos garantizando el derecho fundamental.</w:t>
      </w:r>
    </w:p>
    <w:p w:rsidR="006C7E90" w:rsidRPr="00C06373" w:rsidRDefault="006C7E90" w:rsidP="006C7E90">
      <w:pPr>
        <w:spacing w:line="360" w:lineRule="auto"/>
        <w:ind w:left="720"/>
        <w:contextualSpacing/>
        <w:jc w:val="both"/>
        <w:rPr>
          <w:rFonts w:ascii="Palatino Linotype" w:hAnsi="Palatino Linotype" w:cs="Arial"/>
          <w:sz w:val="24"/>
          <w:szCs w:val="24"/>
          <w:lang w:val="es-MX"/>
        </w:rPr>
      </w:pPr>
    </w:p>
    <w:p w:rsidR="006C7E90" w:rsidRPr="00C06373" w:rsidRDefault="006C7E90" w:rsidP="006C7E90">
      <w:pPr>
        <w:numPr>
          <w:ilvl w:val="0"/>
          <w:numId w:val="1"/>
        </w:numPr>
        <w:spacing w:after="0" w:line="360" w:lineRule="auto"/>
        <w:ind w:left="426" w:hanging="426"/>
        <w:contextualSpacing/>
        <w:jc w:val="both"/>
        <w:rPr>
          <w:rFonts w:ascii="Palatino Linotype" w:hAnsi="Palatino Linotype" w:cs="Arial"/>
          <w:sz w:val="24"/>
          <w:szCs w:val="24"/>
          <w:lang w:val="es-MX"/>
        </w:rPr>
      </w:pPr>
      <w:r w:rsidRPr="00C06373">
        <w:rPr>
          <w:rFonts w:ascii="Palatino Linotype" w:hAnsi="Palatino Linotype" w:cs="Arial"/>
          <w:sz w:val="24"/>
          <w:szCs w:val="24"/>
          <w:lang w:val="es-MX"/>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6C7E90" w:rsidRDefault="006C7E90" w:rsidP="006C7E90">
      <w:pPr>
        <w:spacing w:after="0" w:line="360" w:lineRule="auto"/>
        <w:ind w:left="426"/>
        <w:contextualSpacing/>
        <w:jc w:val="both"/>
        <w:rPr>
          <w:rFonts w:ascii="Palatino Linotype" w:hAnsi="Palatino Linotype" w:cs="Arial"/>
          <w:sz w:val="24"/>
          <w:szCs w:val="24"/>
          <w:lang w:val="es-MX"/>
        </w:rPr>
      </w:pPr>
    </w:p>
    <w:p w:rsidR="00C06373" w:rsidRDefault="00C06373" w:rsidP="006C7E90">
      <w:pPr>
        <w:spacing w:after="0" w:line="360" w:lineRule="auto"/>
        <w:ind w:left="426"/>
        <w:contextualSpacing/>
        <w:jc w:val="both"/>
        <w:rPr>
          <w:rFonts w:ascii="Palatino Linotype" w:hAnsi="Palatino Linotype" w:cs="Arial"/>
          <w:sz w:val="24"/>
          <w:szCs w:val="24"/>
          <w:lang w:val="es-MX"/>
        </w:rPr>
      </w:pPr>
    </w:p>
    <w:p w:rsidR="00C06373" w:rsidRDefault="00C06373" w:rsidP="006C7E90">
      <w:pPr>
        <w:spacing w:after="0" w:line="360" w:lineRule="auto"/>
        <w:ind w:left="426"/>
        <w:contextualSpacing/>
        <w:jc w:val="both"/>
        <w:rPr>
          <w:rFonts w:ascii="Palatino Linotype" w:hAnsi="Palatino Linotype" w:cs="Arial"/>
          <w:sz w:val="24"/>
          <w:szCs w:val="24"/>
          <w:lang w:val="es-MX"/>
        </w:rPr>
      </w:pPr>
    </w:p>
    <w:p w:rsidR="00C06373" w:rsidRPr="00C06373" w:rsidRDefault="00C06373" w:rsidP="006C7E90">
      <w:pPr>
        <w:spacing w:after="0" w:line="360" w:lineRule="auto"/>
        <w:ind w:left="426"/>
        <w:contextualSpacing/>
        <w:jc w:val="both"/>
        <w:rPr>
          <w:rFonts w:ascii="Palatino Linotype" w:hAnsi="Palatino Linotype" w:cs="Arial"/>
          <w:sz w:val="24"/>
          <w:szCs w:val="24"/>
          <w:lang w:val="es-MX"/>
        </w:rPr>
      </w:pPr>
    </w:p>
    <w:p w:rsidR="006C7E90" w:rsidRPr="00C06373" w:rsidRDefault="006C7E90" w:rsidP="006C7E90">
      <w:pPr>
        <w:spacing w:after="0" w:line="360" w:lineRule="auto"/>
        <w:jc w:val="center"/>
        <w:rPr>
          <w:rFonts w:ascii="Palatino Linotype" w:hAnsi="Palatino Linotype"/>
          <w:b/>
          <w:sz w:val="24"/>
          <w:szCs w:val="24"/>
          <w:lang w:val="es-MX"/>
        </w:rPr>
      </w:pPr>
      <w:r w:rsidRPr="00C06373">
        <w:rPr>
          <w:rFonts w:ascii="Palatino Linotype" w:hAnsi="Palatino Linotype"/>
          <w:b/>
          <w:sz w:val="24"/>
          <w:szCs w:val="24"/>
          <w:lang w:val="es-MX"/>
        </w:rPr>
        <w:t>JOSÉ GUADALUPE LUNA HERNÁNDEZ</w:t>
      </w:r>
    </w:p>
    <w:p w:rsidR="006C7E90" w:rsidRPr="00C06373" w:rsidRDefault="006C7E90" w:rsidP="006C7E90">
      <w:pPr>
        <w:spacing w:line="360" w:lineRule="auto"/>
        <w:jc w:val="center"/>
        <w:rPr>
          <w:rFonts w:ascii="Palatino Linotype" w:hAnsi="Palatino Linotype"/>
          <w:lang w:val="es-MX"/>
        </w:rPr>
      </w:pPr>
      <w:r w:rsidRPr="00C06373">
        <w:rPr>
          <w:rFonts w:ascii="Palatino Linotype" w:hAnsi="Palatino Linotype"/>
          <w:b/>
          <w:sz w:val="24"/>
          <w:szCs w:val="24"/>
          <w:lang w:val="es-MX"/>
        </w:rPr>
        <w:t>COMISIONADO</w:t>
      </w:r>
    </w:p>
    <w:p w:rsidR="006C7E90" w:rsidRPr="00C06373" w:rsidRDefault="006C7E90" w:rsidP="006C7E90">
      <w:pPr>
        <w:spacing w:line="360" w:lineRule="auto"/>
        <w:jc w:val="center"/>
        <w:rPr>
          <w:rFonts w:ascii="Palatino Linotype" w:hAnsi="Palatino Linotype"/>
          <w:b/>
          <w:sz w:val="24"/>
          <w:szCs w:val="24"/>
          <w:lang w:val="es-MX"/>
        </w:rPr>
      </w:pPr>
      <w:r w:rsidRPr="00C06373">
        <w:rPr>
          <w:rFonts w:ascii="Palatino Linotype" w:hAnsi="Palatino Linotype"/>
          <w:b/>
          <w:sz w:val="24"/>
          <w:szCs w:val="24"/>
          <w:lang w:val="es-MX"/>
        </w:rPr>
        <w:t>(Rúbrica)</w:t>
      </w:r>
    </w:p>
    <w:p w:rsidR="006C7E90" w:rsidRDefault="006C7E90" w:rsidP="006C7E90">
      <w:pPr>
        <w:spacing w:line="360" w:lineRule="auto"/>
      </w:pPr>
      <w:r w:rsidRPr="00C06373">
        <w:rPr>
          <w:rFonts w:ascii="Palatino Linotype" w:hAnsi="Palatino Linotype"/>
          <w:b/>
          <w:lang w:val="es-MX"/>
        </w:rPr>
        <w:t>JGLH/</w:t>
      </w:r>
      <w:proofErr w:type="spellStart"/>
      <w:r w:rsidRPr="00C06373">
        <w:rPr>
          <w:rFonts w:ascii="Palatino Linotype" w:hAnsi="Palatino Linotype"/>
          <w:b/>
          <w:lang w:val="es-MX"/>
        </w:rPr>
        <w:t>msa</w:t>
      </w:r>
      <w:proofErr w:type="spellEnd"/>
      <w:r w:rsidRPr="00C06373">
        <w:rPr>
          <w:rFonts w:ascii="Palatino Linotype" w:hAnsi="Palatino Linotype"/>
          <w:b/>
          <w:lang w:val="es-MX"/>
        </w:rPr>
        <w:t>.</w:t>
      </w:r>
    </w:p>
    <w:p w:rsidR="006C7E90" w:rsidRDefault="006C7E90" w:rsidP="006C7E90"/>
    <w:p w:rsidR="006C7E90" w:rsidRDefault="006C7E90" w:rsidP="006C7E90"/>
    <w:p w:rsidR="006C7E90" w:rsidRDefault="006C7E90" w:rsidP="006C7E90"/>
    <w:p w:rsidR="00185CF6" w:rsidRDefault="00185CF6"/>
    <w:sectPr w:rsidR="00185CF6" w:rsidSect="00DA55B8">
      <w:headerReference w:type="even" r:id="rId9"/>
      <w:headerReference w:type="default" r:id="rId10"/>
      <w:footerReference w:type="even" r:id="rId11"/>
      <w:footerReference w:type="default" r:id="rId12"/>
      <w:headerReference w:type="first" r:id="rId13"/>
      <w:foot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2D8" w:rsidRDefault="00CF12D8" w:rsidP="006C7E90">
      <w:pPr>
        <w:spacing w:after="0" w:line="240" w:lineRule="auto"/>
      </w:pPr>
      <w:r>
        <w:separator/>
      </w:r>
    </w:p>
  </w:endnote>
  <w:endnote w:type="continuationSeparator" w:id="0">
    <w:p w:rsidR="00CF12D8" w:rsidRDefault="00CF12D8" w:rsidP="006C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CF12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761D62">
            <w:pPr>
              <w:pStyle w:val="Piedepgina"/>
              <w:jc w:val="right"/>
            </w:pPr>
            <w:r w:rsidRPr="0052203D">
              <w:rPr>
                <w:rFonts w:ascii="Palatino Linotype" w:hAnsi="Palatino Linotype"/>
                <w:sz w:val="20"/>
                <w:szCs w:val="20"/>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3838C1">
              <w:rPr>
                <w:rFonts w:ascii="Palatino Linotype" w:hAnsi="Palatino Linotype"/>
                <w:b/>
                <w:bCs/>
                <w:noProof/>
                <w:sz w:val="20"/>
                <w:szCs w:val="20"/>
              </w:rPr>
              <w:t>17</w:t>
            </w:r>
            <w:r w:rsidRPr="0052203D">
              <w:rPr>
                <w:rFonts w:ascii="Palatino Linotype" w:hAnsi="Palatino Linotype"/>
                <w:b/>
                <w:bCs/>
                <w:sz w:val="20"/>
                <w:szCs w:val="20"/>
              </w:rPr>
              <w:fldChar w:fldCharType="end"/>
            </w:r>
            <w:r w:rsidRPr="0052203D">
              <w:rPr>
                <w:rFonts w:ascii="Palatino Linotype" w:hAnsi="Palatino Linotype"/>
                <w:sz w:val="20"/>
                <w:szCs w:val="20"/>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3838C1">
              <w:rPr>
                <w:rFonts w:ascii="Palatino Linotype" w:hAnsi="Palatino Linotype"/>
                <w:b/>
                <w:bCs/>
                <w:noProof/>
                <w:sz w:val="20"/>
                <w:szCs w:val="20"/>
              </w:rPr>
              <w:t>17</w:t>
            </w:r>
            <w:r w:rsidRPr="0052203D">
              <w:rPr>
                <w:rFonts w:ascii="Palatino Linotype" w:hAnsi="Palatino Linotype"/>
                <w:b/>
                <w:bCs/>
                <w:sz w:val="20"/>
                <w:szCs w:val="20"/>
              </w:rPr>
              <w:fldChar w:fldCharType="end"/>
            </w:r>
          </w:p>
        </w:sdtContent>
      </w:sdt>
    </w:sdtContent>
  </w:sdt>
  <w:p w:rsidR="00951E8B" w:rsidRDefault="00CF12D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CF12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2D8" w:rsidRDefault="00CF12D8" w:rsidP="006C7E90">
      <w:pPr>
        <w:spacing w:after="0" w:line="240" w:lineRule="auto"/>
      </w:pPr>
      <w:r>
        <w:separator/>
      </w:r>
    </w:p>
  </w:footnote>
  <w:footnote w:type="continuationSeparator" w:id="0">
    <w:p w:rsidR="00CF12D8" w:rsidRDefault="00CF12D8" w:rsidP="006C7E90">
      <w:pPr>
        <w:spacing w:after="0" w:line="240" w:lineRule="auto"/>
      </w:pPr>
      <w:r>
        <w:continuationSeparator/>
      </w:r>
    </w:p>
  </w:footnote>
  <w:footnote w:id="1">
    <w:p w:rsidR="006C7E90" w:rsidRDefault="006C7E90" w:rsidP="006C7E90">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6C7E90" w:rsidRDefault="006C7E90" w:rsidP="006C7E90">
      <w:pPr>
        <w:pStyle w:val="Textonotapie"/>
      </w:pPr>
      <w:r>
        <w:rPr>
          <w:rStyle w:val="Refdenotaalpie"/>
        </w:rPr>
        <w:footnoteRef/>
      </w:r>
      <w:r>
        <w:t xml:space="preserve"> </w:t>
      </w:r>
      <w:r w:rsidRPr="00C775C0">
        <w:rPr>
          <w:i/>
        </w:rPr>
        <w:t>Ibídem</w:t>
      </w:r>
      <w:r>
        <w:t>. Pág. 3594.</w:t>
      </w:r>
    </w:p>
  </w:footnote>
  <w:footnote w:id="3">
    <w:p w:rsidR="006C7E90" w:rsidRDefault="006C7E90" w:rsidP="006C7E90">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6C7E90" w:rsidRDefault="006C7E90" w:rsidP="006C7E90">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6C7E90" w:rsidRDefault="006C7E90" w:rsidP="006C7E90">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CF12D8">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CF12D8">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CF12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CF12D8">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7202FA"/>
    <w:multiLevelType w:val="hybridMultilevel"/>
    <w:tmpl w:val="772688A0"/>
    <w:lvl w:ilvl="0" w:tplc="E7E02610">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E90"/>
    <w:rsid w:val="00185CF6"/>
    <w:rsid w:val="003838C1"/>
    <w:rsid w:val="004B239F"/>
    <w:rsid w:val="006C7E90"/>
    <w:rsid w:val="00761D62"/>
    <w:rsid w:val="00A655B5"/>
    <w:rsid w:val="00C06373"/>
    <w:rsid w:val="00C53779"/>
    <w:rsid w:val="00CF1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32D9D00-47A0-49F0-93ED-82426B0F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C7E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7E90"/>
    <w:rPr>
      <w:sz w:val="20"/>
      <w:szCs w:val="20"/>
    </w:rPr>
  </w:style>
  <w:style w:type="paragraph" w:styleId="Piedepgina">
    <w:name w:val="footer"/>
    <w:basedOn w:val="Normal"/>
    <w:link w:val="PiedepginaCar"/>
    <w:uiPriority w:val="99"/>
    <w:semiHidden/>
    <w:unhideWhenUsed/>
    <w:rsid w:val="006C7E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C7E90"/>
  </w:style>
  <w:style w:type="paragraph" w:styleId="Encabezado">
    <w:name w:val="header"/>
    <w:basedOn w:val="Normal"/>
    <w:link w:val="EncabezadoCar"/>
    <w:uiPriority w:val="99"/>
    <w:semiHidden/>
    <w:unhideWhenUsed/>
    <w:rsid w:val="006C7E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C7E90"/>
  </w:style>
  <w:style w:type="character" w:styleId="Refdenotaalpie">
    <w:name w:val="footnote reference"/>
    <w:basedOn w:val="Fuentedeprrafopredeter"/>
    <w:uiPriority w:val="99"/>
    <w:unhideWhenUsed/>
    <w:rsid w:val="006C7E90"/>
    <w:rPr>
      <w:vertAlign w:val="superscript"/>
    </w:rPr>
  </w:style>
  <w:style w:type="paragraph" w:styleId="Prrafodelista">
    <w:name w:val="List Paragraph"/>
    <w:basedOn w:val="Normal"/>
    <w:link w:val="PrrafodelistaCar"/>
    <w:uiPriority w:val="34"/>
    <w:qFormat/>
    <w:rsid w:val="006C7E90"/>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locked/>
    <w:rsid w:val="006C7E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C7E90"/>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DC1">
    <w:name w:val="toc 1"/>
    <w:basedOn w:val="Normal"/>
    <w:next w:val="Normal"/>
    <w:autoRedefine/>
    <w:uiPriority w:val="39"/>
    <w:unhideWhenUsed/>
    <w:rsid w:val="006C7E90"/>
    <w:pPr>
      <w:spacing w:after="100"/>
    </w:pPr>
  </w:style>
  <w:style w:type="character" w:styleId="Hipervnculo">
    <w:name w:val="Hyperlink"/>
    <w:basedOn w:val="Fuentedeprrafopredeter"/>
    <w:uiPriority w:val="99"/>
    <w:unhideWhenUsed/>
    <w:rsid w:val="006C7E90"/>
    <w:rPr>
      <w:color w:val="0563C1" w:themeColor="hyperlink"/>
      <w:u w:val="single"/>
    </w:rPr>
  </w:style>
  <w:style w:type="paragraph" w:styleId="Textodeglobo">
    <w:name w:val="Balloon Text"/>
    <w:basedOn w:val="Normal"/>
    <w:link w:val="TextodegloboCar"/>
    <w:uiPriority w:val="99"/>
    <w:semiHidden/>
    <w:unhideWhenUsed/>
    <w:rsid w:val="00C063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3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3185</Words>
  <Characters>17522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2018-08-27T20:11:00Z</cp:lastPrinted>
  <dcterms:created xsi:type="dcterms:W3CDTF">2018-08-27T20:11:00Z</dcterms:created>
  <dcterms:modified xsi:type="dcterms:W3CDTF">2018-11-07T20:58:00Z</dcterms:modified>
</cp:coreProperties>
</file>